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2B8BD" w14:textId="7AC06DEA" w:rsidR="00D80A41" w:rsidRPr="00DA12F7" w:rsidRDefault="00D80A41" w:rsidP="00D80A41">
      <w:pPr>
        <w:tabs>
          <w:tab w:val="right" w:pos="9630"/>
        </w:tabs>
        <w:spacing w:after="0"/>
      </w:pPr>
      <w:r w:rsidRPr="00DA12F7">
        <w:rPr>
          <w:rFonts w:ascii="Arial" w:hAnsi="Arial" w:cs="Arial"/>
          <w:b/>
          <w:sz w:val="24"/>
        </w:rPr>
        <w:t>3GPP TSG RAN WG1 #</w:t>
      </w:r>
      <w:r>
        <w:rPr>
          <w:rFonts w:ascii="Arial" w:hAnsi="Arial" w:cs="Arial"/>
          <w:b/>
          <w:sz w:val="24"/>
        </w:rPr>
        <w:t>90</w:t>
      </w:r>
      <w:r w:rsidRPr="00DA12F7">
        <w:rPr>
          <w:rFonts w:ascii="Arial" w:hAnsi="Arial" w:cs="Arial"/>
          <w:b/>
          <w:sz w:val="24"/>
        </w:rPr>
        <w:tab/>
        <w:t>R1-</w:t>
      </w:r>
      <w:r w:rsidR="00171279">
        <w:rPr>
          <w:rFonts w:ascii="Arial" w:hAnsi="Arial" w:cs="Arial"/>
          <w:b/>
          <w:sz w:val="24"/>
        </w:rPr>
        <w:t>1713038</w:t>
      </w:r>
    </w:p>
    <w:p w14:paraId="54E5FF2E" w14:textId="77777777" w:rsidR="00D80A41" w:rsidRPr="00DA12F7" w:rsidRDefault="00D80A41" w:rsidP="00D80A41">
      <w:pPr>
        <w:tabs>
          <w:tab w:val="right" w:pos="9630"/>
        </w:tabs>
        <w:spacing w:after="0"/>
        <w:rPr>
          <w:rFonts w:ascii="Arial" w:hAnsi="Arial" w:cs="Arial"/>
          <w:b/>
          <w:sz w:val="24"/>
          <w:szCs w:val="24"/>
        </w:rPr>
      </w:pPr>
      <w:r>
        <w:rPr>
          <w:rFonts w:ascii="Arial" w:hAnsi="Arial" w:cs="Arial"/>
          <w:b/>
          <w:sz w:val="24"/>
          <w:szCs w:val="24"/>
        </w:rPr>
        <w:t>Aug 21</w:t>
      </w:r>
      <w:r w:rsidRPr="00DD244A">
        <w:rPr>
          <w:rFonts w:ascii="Arial" w:hAnsi="Arial" w:cs="Arial"/>
          <w:b/>
          <w:sz w:val="24"/>
          <w:szCs w:val="24"/>
          <w:vertAlign w:val="superscript"/>
        </w:rPr>
        <w:t>st</w:t>
      </w:r>
      <w:r>
        <w:rPr>
          <w:rFonts w:ascii="Arial" w:hAnsi="Arial" w:cs="Arial"/>
          <w:b/>
          <w:sz w:val="24"/>
          <w:szCs w:val="24"/>
        </w:rPr>
        <w:t xml:space="preserve"> – 25</w:t>
      </w:r>
      <w:r w:rsidRPr="00DA12F7">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167B5D5B" w14:textId="77777777" w:rsidR="00D80A41" w:rsidRPr="00DA12F7" w:rsidRDefault="00D80A41" w:rsidP="00D80A41">
      <w:pPr>
        <w:rPr>
          <w:rFonts w:ascii="Arial" w:hAnsi="Arial" w:cs="Arial"/>
          <w:b/>
          <w:sz w:val="24"/>
          <w:szCs w:val="24"/>
        </w:rPr>
      </w:pPr>
      <w:r>
        <w:rPr>
          <w:rFonts w:ascii="Arial" w:hAnsi="Arial" w:cs="Arial"/>
          <w:b/>
          <w:sz w:val="24"/>
          <w:szCs w:val="24"/>
        </w:rPr>
        <w:t xml:space="preserve">Prague, </w:t>
      </w:r>
      <w:r w:rsidRPr="00DD244A">
        <w:rPr>
          <w:rFonts w:ascii="Arial" w:hAnsi="Arial" w:cs="Arial"/>
          <w:b/>
          <w:sz w:val="24"/>
          <w:szCs w:val="24"/>
        </w:rPr>
        <w:t>Czech Republic</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36868214"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D80A41">
        <w:rPr>
          <w:rFonts w:ascii="Arial" w:hAnsi="Arial"/>
          <w:sz w:val="24"/>
        </w:rPr>
        <w:t>5</w:t>
      </w:r>
      <w:r w:rsidR="00634F2C">
        <w:rPr>
          <w:rFonts w:ascii="Arial" w:hAnsi="Arial"/>
          <w:sz w:val="24"/>
        </w:rPr>
        <w:t>.2.4.</w:t>
      </w:r>
      <w:r w:rsidR="00D80A41">
        <w:rPr>
          <w:rFonts w:ascii="Arial" w:hAnsi="Arial"/>
          <w:sz w:val="24"/>
        </w:rPr>
        <w:t>3</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52C234B5"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D80A41" w:rsidRPr="00D80A41">
        <w:rPr>
          <w:rFonts w:ascii="Arial" w:hAnsi="Arial"/>
          <w:sz w:val="24"/>
        </w:rPr>
        <w:t>Other enhancements for NCJT</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7CDDAF5F" w14:textId="77777777" w:rsidR="00507432" w:rsidRDefault="00507432" w:rsidP="00507432">
      <w:pPr>
        <w:jc w:val="both"/>
      </w:pPr>
      <w:r>
        <w:t>In RAN #75, non-coherent joint transmission (NCJT) is approved in WID of feCoMP [2].</w:t>
      </w:r>
    </w:p>
    <w:p w14:paraId="5F9DCE83" w14:textId="77777777" w:rsidR="00507432" w:rsidRDefault="00507432" w:rsidP="00507432">
      <w:pPr>
        <w:spacing w:after="0"/>
        <w:ind w:right="-99"/>
        <w:textAlignment w:val="auto"/>
        <w:rPr>
          <w:lang w:eastAsia="ko-KR"/>
        </w:rPr>
      </w:pPr>
      <w:r>
        <w:t>In the scope of NCJT, the following are included</w:t>
      </w:r>
    </w:p>
    <w:p w14:paraId="4408734C" w14:textId="77777777" w:rsidR="00507432" w:rsidRDefault="00507432" w:rsidP="00507432">
      <w:pPr>
        <w:numPr>
          <w:ilvl w:val="0"/>
          <w:numId w:val="26"/>
        </w:numPr>
        <w:spacing w:after="0"/>
        <w:ind w:right="-99"/>
        <w:textAlignment w:val="auto"/>
        <w:rPr>
          <w:lang w:eastAsia="ko-KR"/>
        </w:rPr>
      </w:pPr>
      <w:r>
        <w:rPr>
          <w:lang w:eastAsia="ko-KR"/>
        </w:rPr>
        <w:t>Specify enhancements to support non-coherent joint transmission (JT) schemes [RAN1]</w:t>
      </w:r>
    </w:p>
    <w:p w14:paraId="133C002E" w14:textId="77777777" w:rsidR="00507432" w:rsidRDefault="00507432" w:rsidP="00507432">
      <w:pPr>
        <w:numPr>
          <w:ilvl w:val="1"/>
          <w:numId w:val="26"/>
        </w:numPr>
        <w:spacing w:after="0"/>
        <w:ind w:right="-99"/>
        <w:textAlignment w:val="auto"/>
        <w:rPr>
          <w:lang w:eastAsia="ko-KR"/>
        </w:rPr>
      </w:pPr>
      <w:r>
        <w:rPr>
          <w:lang w:eastAsia="ko-KR"/>
        </w:rPr>
        <w:t>Support of a new QCL assumption for DM-RS antenna ports</w:t>
      </w:r>
    </w:p>
    <w:p w14:paraId="7FDFA8D1" w14:textId="77777777" w:rsidR="00507432" w:rsidRDefault="00507432" w:rsidP="00507432">
      <w:pPr>
        <w:numPr>
          <w:ilvl w:val="1"/>
          <w:numId w:val="26"/>
        </w:numPr>
        <w:spacing w:after="0"/>
        <w:ind w:right="-99"/>
        <w:textAlignment w:val="auto"/>
        <w:rPr>
          <w:lang w:eastAsia="ko-KR"/>
        </w:rPr>
      </w:pPr>
      <w:r>
        <w:rPr>
          <w:lang w:eastAsia="ko-KR"/>
        </w:rPr>
        <w:t>Support of control signalling enhancements to assist QCL,PDSCH REs mapping and resource allocation</w:t>
      </w:r>
    </w:p>
    <w:p w14:paraId="425C5E66" w14:textId="77777777" w:rsidR="00507432" w:rsidRDefault="00507432" w:rsidP="00507432">
      <w:pPr>
        <w:numPr>
          <w:ilvl w:val="1"/>
          <w:numId w:val="26"/>
        </w:numPr>
        <w:spacing w:after="0"/>
        <w:ind w:right="-99"/>
        <w:textAlignment w:val="auto"/>
        <w:rPr>
          <w:lang w:eastAsia="ko-KR"/>
        </w:rPr>
      </w:pPr>
      <w:r>
        <w:rPr>
          <w:lang w:eastAsia="ko-KR"/>
        </w:rPr>
        <w:t>Support possible CSI feedback enhancement</w:t>
      </w:r>
    </w:p>
    <w:p w14:paraId="2F17BABE" w14:textId="5E6FD632" w:rsidR="00507432" w:rsidRDefault="009E3776" w:rsidP="00507432">
      <w:pPr>
        <w:jc w:val="both"/>
      </w:pPr>
      <w:r>
        <w:t>In RAN1 #88bis, it was agreed:</w:t>
      </w:r>
    </w:p>
    <w:p w14:paraId="124EDBD5" w14:textId="77777777" w:rsidR="009E3776" w:rsidRPr="00481A2D" w:rsidRDefault="009E3776" w:rsidP="009E3776">
      <w:pPr>
        <w:numPr>
          <w:ilvl w:val="0"/>
          <w:numId w:val="28"/>
        </w:numPr>
        <w:overflowPunct/>
        <w:autoSpaceDE/>
        <w:autoSpaceDN/>
        <w:adjustRightInd/>
        <w:spacing w:after="0"/>
        <w:textAlignment w:val="auto"/>
        <w:rPr>
          <w:iCs/>
        </w:rPr>
      </w:pPr>
      <w:r w:rsidRPr="00481A2D">
        <w:rPr>
          <w:iCs/>
        </w:rPr>
        <w:t>NC-JT is supported using single DCI</w:t>
      </w:r>
      <w:r w:rsidRPr="00481A2D">
        <w:rPr>
          <w:rFonts w:hint="eastAsia"/>
          <w:iCs/>
        </w:rPr>
        <w:t xml:space="preserve">  </w:t>
      </w:r>
    </w:p>
    <w:p w14:paraId="76543139" w14:textId="77777777" w:rsidR="009E3776" w:rsidRPr="00481A2D" w:rsidRDefault="009E3776" w:rsidP="009E3776">
      <w:pPr>
        <w:numPr>
          <w:ilvl w:val="1"/>
          <w:numId w:val="28"/>
        </w:numPr>
        <w:overflowPunct/>
        <w:autoSpaceDE/>
        <w:autoSpaceDN/>
        <w:adjustRightInd/>
        <w:spacing w:after="0"/>
        <w:textAlignment w:val="auto"/>
        <w:rPr>
          <w:iCs/>
        </w:rPr>
      </w:pPr>
      <w:r w:rsidRPr="00481A2D">
        <w:rPr>
          <w:rFonts w:hint="eastAsia"/>
          <w:iCs/>
        </w:rPr>
        <w:t>increasing number of bits for resource allocation and PQI to an existing DCI needs to be justified in terms of DCI coverage and performance</w:t>
      </w:r>
    </w:p>
    <w:p w14:paraId="16F1566A" w14:textId="77777777" w:rsidR="009E3776" w:rsidRPr="00481A2D" w:rsidRDefault="009E3776" w:rsidP="009E3776">
      <w:pPr>
        <w:numPr>
          <w:ilvl w:val="1"/>
          <w:numId w:val="28"/>
        </w:numPr>
        <w:overflowPunct/>
        <w:autoSpaceDE/>
        <w:autoSpaceDN/>
        <w:adjustRightInd/>
        <w:spacing w:after="0"/>
        <w:textAlignment w:val="auto"/>
        <w:rPr>
          <w:iCs/>
        </w:rPr>
      </w:pPr>
      <w:r w:rsidRPr="00481A2D">
        <w:rPr>
          <w:rFonts w:hint="eastAsia"/>
          <w:iCs/>
        </w:rPr>
        <w:t xml:space="preserve">FFS on multiple DCIs </w:t>
      </w:r>
    </w:p>
    <w:p w14:paraId="6D9A728E" w14:textId="77777777" w:rsidR="009E3776" w:rsidRPr="00481A2D" w:rsidRDefault="009E3776" w:rsidP="009E3776">
      <w:pPr>
        <w:numPr>
          <w:ilvl w:val="0"/>
          <w:numId w:val="28"/>
        </w:numPr>
        <w:overflowPunct/>
        <w:autoSpaceDE/>
        <w:autoSpaceDN/>
        <w:adjustRightInd/>
        <w:spacing w:after="0"/>
        <w:textAlignment w:val="auto"/>
        <w:rPr>
          <w:iCs/>
        </w:rPr>
      </w:pPr>
      <w:r w:rsidRPr="00481A2D">
        <w:rPr>
          <w:iCs/>
        </w:rPr>
        <w:t>NC-JT is supported by the following DCI signalling per each CW</w:t>
      </w:r>
    </w:p>
    <w:p w14:paraId="59299384" w14:textId="77777777" w:rsidR="009E3776" w:rsidRPr="00481A2D" w:rsidRDefault="009E3776" w:rsidP="009E3776">
      <w:pPr>
        <w:numPr>
          <w:ilvl w:val="1"/>
          <w:numId w:val="28"/>
        </w:numPr>
        <w:overflowPunct/>
        <w:autoSpaceDE/>
        <w:autoSpaceDN/>
        <w:adjustRightInd/>
        <w:spacing w:after="0"/>
        <w:textAlignment w:val="auto"/>
        <w:rPr>
          <w:iCs/>
        </w:rPr>
      </w:pPr>
      <w:r w:rsidRPr="00481A2D">
        <w:rPr>
          <w:iCs/>
        </w:rPr>
        <w:t>QCL</w:t>
      </w:r>
    </w:p>
    <w:p w14:paraId="2B0D1861" w14:textId="77777777" w:rsidR="009E3776" w:rsidRPr="00481A2D" w:rsidRDefault="009E3776" w:rsidP="009E3776">
      <w:pPr>
        <w:numPr>
          <w:ilvl w:val="2"/>
          <w:numId w:val="28"/>
        </w:numPr>
        <w:overflowPunct/>
        <w:autoSpaceDE/>
        <w:autoSpaceDN/>
        <w:adjustRightInd/>
        <w:spacing w:after="0"/>
        <w:textAlignment w:val="auto"/>
        <w:rPr>
          <w:iCs/>
        </w:rPr>
      </w:pPr>
      <w:r w:rsidRPr="00481A2D">
        <w:rPr>
          <w:rFonts w:hint="eastAsia"/>
          <w:iCs/>
        </w:rPr>
        <w:t>FFS: Add PQI bits or Re-</w:t>
      </w:r>
      <w:r w:rsidRPr="00481A2D">
        <w:rPr>
          <w:iCs/>
        </w:rPr>
        <w:t>interpret</w:t>
      </w:r>
      <w:r w:rsidRPr="00481A2D">
        <w:rPr>
          <w:rFonts w:hint="eastAsia"/>
          <w:iCs/>
        </w:rPr>
        <w:t xml:space="preserve"> existing PQI bits</w:t>
      </w:r>
    </w:p>
    <w:p w14:paraId="306D0A85" w14:textId="77777777" w:rsidR="009E3776" w:rsidRPr="00481A2D" w:rsidRDefault="009E3776" w:rsidP="009E3776">
      <w:pPr>
        <w:numPr>
          <w:ilvl w:val="1"/>
          <w:numId w:val="28"/>
        </w:numPr>
        <w:overflowPunct/>
        <w:autoSpaceDE/>
        <w:autoSpaceDN/>
        <w:adjustRightInd/>
        <w:spacing w:after="0"/>
        <w:textAlignment w:val="auto"/>
        <w:rPr>
          <w:iCs/>
        </w:rPr>
      </w:pPr>
      <w:r w:rsidRPr="00481A2D">
        <w:rPr>
          <w:rFonts w:hint="eastAsia"/>
          <w:iCs/>
        </w:rPr>
        <w:t>FFS:</w:t>
      </w:r>
      <w:r>
        <w:rPr>
          <w:iCs/>
        </w:rPr>
        <w:t xml:space="preserve"> </w:t>
      </w:r>
      <w:r w:rsidRPr="00481A2D">
        <w:rPr>
          <w:iCs/>
        </w:rPr>
        <w:t>PDSCH RE mapping</w:t>
      </w:r>
    </w:p>
    <w:p w14:paraId="62395C84" w14:textId="77777777" w:rsidR="009E3776" w:rsidRPr="00481A2D" w:rsidRDefault="009E3776" w:rsidP="009E3776">
      <w:pPr>
        <w:numPr>
          <w:ilvl w:val="1"/>
          <w:numId w:val="28"/>
        </w:numPr>
        <w:overflowPunct/>
        <w:autoSpaceDE/>
        <w:autoSpaceDN/>
        <w:adjustRightInd/>
        <w:spacing w:after="0"/>
        <w:textAlignment w:val="auto"/>
        <w:rPr>
          <w:iCs/>
        </w:rPr>
      </w:pPr>
      <w:r w:rsidRPr="00481A2D">
        <w:rPr>
          <w:iCs/>
        </w:rPr>
        <w:t>FFS: Resource allocation</w:t>
      </w:r>
    </w:p>
    <w:p w14:paraId="756E48DC" w14:textId="185BCBA8" w:rsidR="005A0F18" w:rsidRDefault="005A0F18" w:rsidP="00507432">
      <w:pPr>
        <w:jc w:val="both"/>
      </w:pPr>
      <w:r>
        <w:t xml:space="preserve">In RAN1 #89, a new QCL type is agreed to be defined with two sets of PDSCH-RE-MappingQCL parameters, one for each TP, and the CW to set of parameters in the PDSCH-RE-MappingQCL is agreed.  </w:t>
      </w:r>
    </w:p>
    <w:p w14:paraId="1037C252" w14:textId="77777777" w:rsidR="005A0F18" w:rsidRPr="0097280B" w:rsidRDefault="005A0F18" w:rsidP="005A0F18">
      <w:pPr>
        <w:numPr>
          <w:ilvl w:val="0"/>
          <w:numId w:val="31"/>
        </w:numPr>
        <w:overflowPunct/>
        <w:autoSpaceDE/>
        <w:autoSpaceDN/>
        <w:adjustRightInd/>
        <w:spacing w:after="0"/>
        <w:textAlignment w:val="auto"/>
        <w:rPr>
          <w:rFonts w:eastAsia="MS Mincho"/>
          <w:iCs/>
          <w:lang w:eastAsia="ja-JP"/>
        </w:rPr>
      </w:pPr>
      <w:r>
        <w:rPr>
          <w:rFonts w:eastAsia="MS Mincho"/>
          <w:iCs/>
          <w:lang w:eastAsia="ja-JP"/>
        </w:rPr>
        <w:t xml:space="preserve">Introduce </w:t>
      </w:r>
      <w:r w:rsidRPr="0097280B">
        <w:rPr>
          <w:rFonts w:eastAsia="MS Mincho"/>
          <w:iCs/>
          <w:lang w:eastAsia="ja-JP"/>
        </w:rPr>
        <w:t>new QCL type with new QCL assumption for DM-RS antenna port groups</w:t>
      </w:r>
    </w:p>
    <w:p w14:paraId="46267039" w14:textId="77777777" w:rsidR="005A0F18" w:rsidRPr="0097280B" w:rsidRDefault="005A0F18" w:rsidP="005A0F18">
      <w:pPr>
        <w:numPr>
          <w:ilvl w:val="1"/>
          <w:numId w:val="31"/>
        </w:numPr>
        <w:overflowPunct/>
        <w:autoSpaceDE/>
        <w:autoSpaceDN/>
        <w:adjustRightInd/>
        <w:spacing w:after="0"/>
        <w:textAlignment w:val="auto"/>
        <w:rPr>
          <w:rFonts w:eastAsia="MS Mincho"/>
          <w:iCs/>
          <w:lang w:eastAsia="ja-JP"/>
        </w:rPr>
      </w:pPr>
      <w:r w:rsidRPr="0097280B">
        <w:rPr>
          <w:rFonts w:eastAsia="MS Mincho"/>
          <w:iCs/>
          <w:lang w:eastAsia="ja-JP"/>
        </w:rPr>
        <w:t>New QCL type is configured by RRC</w:t>
      </w:r>
    </w:p>
    <w:p w14:paraId="4BAC0988" w14:textId="77777777" w:rsidR="005A0F18" w:rsidRPr="0097280B" w:rsidRDefault="005A0F18" w:rsidP="005A0F18">
      <w:pPr>
        <w:numPr>
          <w:ilvl w:val="1"/>
          <w:numId w:val="31"/>
        </w:numPr>
        <w:overflowPunct/>
        <w:autoSpaceDE/>
        <w:autoSpaceDN/>
        <w:adjustRightInd/>
        <w:spacing w:after="0"/>
        <w:textAlignment w:val="auto"/>
        <w:rPr>
          <w:rFonts w:eastAsia="MS Mincho"/>
          <w:iCs/>
          <w:lang w:eastAsia="ja-JP"/>
        </w:rPr>
      </w:pPr>
      <w:r w:rsidRPr="0097280B">
        <w:rPr>
          <w:rFonts w:eastAsia="MS Mincho"/>
          <w:iCs/>
          <w:lang w:eastAsia="ja-JP"/>
        </w:rPr>
        <w:t>New QCL type has the same QCL assumption as QCL type B except for DM-RS antenna ports</w:t>
      </w:r>
    </w:p>
    <w:p w14:paraId="21F6838B" w14:textId="77777777" w:rsidR="005A0F18" w:rsidRPr="0097280B" w:rsidRDefault="005A0F18" w:rsidP="005A0F18">
      <w:pPr>
        <w:numPr>
          <w:ilvl w:val="2"/>
          <w:numId w:val="31"/>
        </w:numPr>
        <w:overflowPunct/>
        <w:autoSpaceDE/>
        <w:autoSpaceDN/>
        <w:adjustRightInd/>
        <w:spacing w:after="0"/>
        <w:textAlignment w:val="auto"/>
        <w:rPr>
          <w:rFonts w:eastAsia="MS Mincho"/>
          <w:iCs/>
          <w:lang w:eastAsia="ja-JP"/>
        </w:rPr>
      </w:pPr>
      <w:r w:rsidRPr="0097280B">
        <w:rPr>
          <w:rFonts w:eastAsia="MS Mincho"/>
          <w:iCs/>
          <w:lang w:eastAsia="ja-JP"/>
        </w:rPr>
        <w:t xml:space="preserve">Regardless of the initial PDSCH transmission or retransmission </w:t>
      </w:r>
    </w:p>
    <w:p w14:paraId="09213CDF" w14:textId="77777777" w:rsidR="005A0F18" w:rsidRDefault="005A0F18" w:rsidP="005A0F18">
      <w:pPr>
        <w:numPr>
          <w:ilvl w:val="3"/>
          <w:numId w:val="31"/>
        </w:numPr>
        <w:tabs>
          <w:tab w:val="num" w:pos="3240"/>
        </w:tabs>
        <w:overflowPunct/>
        <w:autoSpaceDE/>
        <w:autoSpaceDN/>
        <w:adjustRightInd/>
        <w:spacing w:after="0"/>
        <w:textAlignment w:val="auto"/>
        <w:rPr>
          <w:rFonts w:eastAsia="MS Mincho"/>
          <w:iCs/>
          <w:lang w:eastAsia="ja-JP"/>
        </w:rPr>
      </w:pPr>
      <w:r>
        <w:rPr>
          <w:rFonts w:eastAsia="MS Mincho"/>
          <w:iCs/>
          <w:lang w:eastAsia="ja-JP"/>
        </w:rPr>
        <w:t>UE should assume that all DM-RS antenna ports associated with each CW are co-located wrt to all parameters</w:t>
      </w:r>
    </w:p>
    <w:p w14:paraId="5B28F487" w14:textId="77777777" w:rsidR="005A0F18" w:rsidRDefault="005A0F18" w:rsidP="005A0F18">
      <w:pPr>
        <w:numPr>
          <w:ilvl w:val="3"/>
          <w:numId w:val="31"/>
        </w:numPr>
        <w:tabs>
          <w:tab w:val="num" w:pos="3240"/>
        </w:tabs>
        <w:overflowPunct/>
        <w:autoSpaceDE/>
        <w:autoSpaceDN/>
        <w:adjustRightInd/>
        <w:spacing w:after="0"/>
        <w:textAlignment w:val="auto"/>
        <w:rPr>
          <w:rFonts w:eastAsia="MS Mincho"/>
          <w:iCs/>
          <w:lang w:eastAsia="ja-JP"/>
        </w:rPr>
      </w:pPr>
      <w:r>
        <w:rPr>
          <w:rFonts w:eastAsia="MS Mincho"/>
          <w:iCs/>
          <w:lang w:eastAsia="ja-JP"/>
        </w:rPr>
        <w:t xml:space="preserve">UE should not assume that DM-RS antenna ports associated with different CWs are co-located wrt to all parameters, unless indicated </w:t>
      </w:r>
    </w:p>
    <w:p w14:paraId="4D39BDC0" w14:textId="77777777" w:rsidR="005A0F18" w:rsidRDefault="005A0F18" w:rsidP="005A0F18">
      <w:pPr>
        <w:numPr>
          <w:ilvl w:val="3"/>
          <w:numId w:val="31"/>
        </w:numPr>
        <w:tabs>
          <w:tab w:val="num" w:pos="3240"/>
        </w:tabs>
        <w:overflowPunct/>
        <w:autoSpaceDE/>
        <w:autoSpaceDN/>
        <w:adjustRightInd/>
        <w:spacing w:after="0"/>
        <w:textAlignment w:val="auto"/>
        <w:rPr>
          <w:rFonts w:eastAsia="MS Mincho"/>
          <w:iCs/>
          <w:lang w:eastAsia="ja-JP"/>
        </w:rPr>
      </w:pPr>
      <w:r>
        <w:rPr>
          <w:rFonts w:eastAsia="MS Mincho"/>
          <w:iCs/>
          <w:lang w:eastAsia="ja-JP"/>
        </w:rPr>
        <w:t>UE is informed regarding QCL assumptions between DM-RS antenna ports and CSI-RS resource</w:t>
      </w:r>
    </w:p>
    <w:p w14:paraId="3B315F5E" w14:textId="77777777" w:rsidR="005A0F18" w:rsidRPr="00485E39" w:rsidRDefault="005A0F18" w:rsidP="005A0F18">
      <w:pPr>
        <w:numPr>
          <w:ilvl w:val="3"/>
          <w:numId w:val="31"/>
        </w:numPr>
        <w:tabs>
          <w:tab w:val="num" w:pos="3240"/>
        </w:tabs>
        <w:overflowPunct/>
        <w:autoSpaceDE/>
        <w:autoSpaceDN/>
        <w:adjustRightInd/>
        <w:spacing w:after="0"/>
        <w:textAlignment w:val="auto"/>
        <w:rPr>
          <w:rFonts w:eastAsia="MS Mincho"/>
          <w:iCs/>
          <w:lang w:eastAsia="ja-JP"/>
        </w:rPr>
      </w:pPr>
      <w:r>
        <w:rPr>
          <w:rFonts w:eastAsia="MS Mincho"/>
          <w:iCs/>
          <w:lang w:eastAsia="ja-JP"/>
        </w:rPr>
        <w:t>Note: Dynamic switching between NC-JT and single point transmission is supported</w:t>
      </w:r>
    </w:p>
    <w:p w14:paraId="70247336" w14:textId="77777777" w:rsidR="005A0F18" w:rsidRPr="0097280B" w:rsidRDefault="005A0F18" w:rsidP="005A0F18">
      <w:pPr>
        <w:numPr>
          <w:ilvl w:val="0"/>
          <w:numId w:val="31"/>
        </w:numPr>
        <w:overflowPunct/>
        <w:autoSpaceDE/>
        <w:autoSpaceDN/>
        <w:adjustRightInd/>
        <w:spacing w:after="0"/>
        <w:textAlignment w:val="auto"/>
        <w:rPr>
          <w:rFonts w:eastAsia="MS Mincho"/>
          <w:iCs/>
          <w:lang w:eastAsia="ja-JP"/>
        </w:rPr>
      </w:pPr>
      <w:r w:rsidRPr="0097280B">
        <w:rPr>
          <w:rFonts w:eastAsia="MS Mincho"/>
          <w:iCs/>
          <w:lang w:eastAsia="ja-JP"/>
        </w:rPr>
        <w:t>New QCL type configuration</w:t>
      </w:r>
    </w:p>
    <w:p w14:paraId="4164C532" w14:textId="77777777" w:rsidR="005A0F18" w:rsidRPr="0097280B" w:rsidRDefault="005A0F18" w:rsidP="005A0F18">
      <w:pPr>
        <w:numPr>
          <w:ilvl w:val="1"/>
          <w:numId w:val="31"/>
        </w:numPr>
        <w:overflowPunct/>
        <w:autoSpaceDE/>
        <w:autoSpaceDN/>
        <w:adjustRightInd/>
        <w:spacing w:after="0"/>
        <w:textAlignment w:val="auto"/>
        <w:rPr>
          <w:rFonts w:eastAsia="MS Mincho"/>
          <w:iCs/>
          <w:lang w:eastAsia="ja-JP"/>
        </w:rPr>
      </w:pPr>
      <w:r w:rsidRPr="0097280B">
        <w:rPr>
          <w:rFonts w:eastAsia="MS Mincho"/>
          <w:iCs/>
          <w:lang w:eastAsia="ja-JP"/>
        </w:rPr>
        <w:t>The existing PDSCH-RE-MappingQCL is extended by allowing configuration of the 2</w:t>
      </w:r>
      <w:r w:rsidRPr="0097280B">
        <w:rPr>
          <w:rFonts w:eastAsia="MS Mincho"/>
          <w:iCs/>
          <w:vertAlign w:val="superscript"/>
          <w:lang w:eastAsia="ja-JP"/>
        </w:rPr>
        <w:t>nd</w:t>
      </w:r>
      <w:r w:rsidRPr="0097280B">
        <w:rPr>
          <w:rFonts w:eastAsia="MS Mincho"/>
          <w:iCs/>
          <w:lang w:eastAsia="ja-JP"/>
        </w:rPr>
        <w:t xml:space="preserve"> set of following parameters</w:t>
      </w:r>
    </w:p>
    <w:p w14:paraId="51EDDC44" w14:textId="77777777" w:rsidR="005A0F18" w:rsidRPr="0097280B" w:rsidRDefault="005A0F18" w:rsidP="005A0F18">
      <w:pPr>
        <w:numPr>
          <w:ilvl w:val="2"/>
          <w:numId w:val="31"/>
        </w:numPr>
        <w:overflowPunct/>
        <w:autoSpaceDE/>
        <w:autoSpaceDN/>
        <w:adjustRightInd/>
        <w:spacing w:after="0"/>
        <w:textAlignment w:val="auto"/>
        <w:rPr>
          <w:rFonts w:eastAsia="MS Mincho"/>
          <w:iCs/>
          <w:lang w:eastAsia="ja-JP"/>
        </w:rPr>
      </w:pPr>
      <w:r w:rsidRPr="0097280B">
        <w:rPr>
          <w:rFonts w:eastAsia="MS Mincho"/>
          <w:iCs/>
          <w:lang w:eastAsia="ja-JP"/>
        </w:rPr>
        <w:t>CRS port number</w:t>
      </w:r>
    </w:p>
    <w:p w14:paraId="2D27F306" w14:textId="77777777" w:rsidR="005A0F18" w:rsidRPr="0097280B" w:rsidRDefault="005A0F18" w:rsidP="005A0F18">
      <w:pPr>
        <w:numPr>
          <w:ilvl w:val="2"/>
          <w:numId w:val="31"/>
        </w:numPr>
        <w:overflowPunct/>
        <w:autoSpaceDE/>
        <w:autoSpaceDN/>
        <w:adjustRightInd/>
        <w:spacing w:after="0"/>
        <w:textAlignment w:val="auto"/>
        <w:rPr>
          <w:rFonts w:eastAsia="MS Mincho"/>
          <w:iCs/>
          <w:lang w:eastAsia="ja-JP"/>
        </w:rPr>
      </w:pPr>
      <w:r w:rsidRPr="0097280B">
        <w:rPr>
          <w:rFonts w:eastAsia="MS Mincho"/>
          <w:iCs/>
          <w:lang w:eastAsia="ja-JP"/>
        </w:rPr>
        <w:t>CRS shift</w:t>
      </w:r>
    </w:p>
    <w:p w14:paraId="70A2EA3E" w14:textId="77777777" w:rsidR="005A0F18" w:rsidRPr="0097280B" w:rsidRDefault="005A0F18" w:rsidP="005A0F18">
      <w:pPr>
        <w:numPr>
          <w:ilvl w:val="2"/>
          <w:numId w:val="31"/>
        </w:numPr>
        <w:overflowPunct/>
        <w:autoSpaceDE/>
        <w:autoSpaceDN/>
        <w:adjustRightInd/>
        <w:spacing w:after="0"/>
        <w:textAlignment w:val="auto"/>
        <w:rPr>
          <w:rFonts w:eastAsia="MS Mincho"/>
          <w:iCs/>
          <w:lang w:eastAsia="ja-JP"/>
        </w:rPr>
      </w:pPr>
      <w:r w:rsidRPr="0097280B">
        <w:rPr>
          <w:rFonts w:eastAsia="MS Mincho"/>
          <w:iCs/>
          <w:lang w:eastAsia="ja-JP"/>
        </w:rPr>
        <w:t xml:space="preserve">MBSFN configuration </w:t>
      </w:r>
    </w:p>
    <w:p w14:paraId="35014E26" w14:textId="77777777" w:rsidR="005A0F18" w:rsidRPr="0097280B" w:rsidRDefault="005A0F18" w:rsidP="005A0F18">
      <w:pPr>
        <w:numPr>
          <w:ilvl w:val="2"/>
          <w:numId w:val="31"/>
        </w:numPr>
        <w:overflowPunct/>
        <w:autoSpaceDE/>
        <w:autoSpaceDN/>
        <w:adjustRightInd/>
        <w:spacing w:after="0"/>
        <w:textAlignment w:val="auto"/>
        <w:rPr>
          <w:rFonts w:eastAsia="MS Mincho"/>
          <w:iCs/>
          <w:lang w:eastAsia="ja-JP"/>
        </w:rPr>
      </w:pPr>
      <w:r w:rsidRPr="0097280B">
        <w:rPr>
          <w:rFonts w:eastAsia="MS Mincho"/>
          <w:iCs/>
          <w:lang w:eastAsia="ja-JP"/>
        </w:rPr>
        <w:t>ID of ZP CSI-RS ID</w:t>
      </w:r>
    </w:p>
    <w:p w14:paraId="0E1FEAF0" w14:textId="77777777" w:rsidR="005A0F18" w:rsidRPr="0097280B" w:rsidRDefault="005A0F18" w:rsidP="005A0F18">
      <w:pPr>
        <w:numPr>
          <w:ilvl w:val="2"/>
          <w:numId w:val="31"/>
        </w:numPr>
        <w:overflowPunct/>
        <w:autoSpaceDE/>
        <w:autoSpaceDN/>
        <w:adjustRightInd/>
        <w:spacing w:after="0"/>
        <w:textAlignment w:val="auto"/>
        <w:rPr>
          <w:rFonts w:eastAsia="MS Mincho"/>
          <w:iCs/>
          <w:lang w:eastAsia="ja-JP"/>
        </w:rPr>
      </w:pPr>
      <w:r w:rsidRPr="0097280B">
        <w:rPr>
          <w:rFonts w:eastAsia="MS Mincho"/>
          <w:iCs/>
          <w:lang w:eastAsia="ja-JP"/>
        </w:rPr>
        <w:t xml:space="preserve">ID NZP CSI-RS for QCL </w:t>
      </w:r>
    </w:p>
    <w:p w14:paraId="7984B893" w14:textId="77777777" w:rsidR="005A0F18" w:rsidRDefault="005A0F18" w:rsidP="005A0F18">
      <w:pPr>
        <w:numPr>
          <w:ilvl w:val="1"/>
          <w:numId w:val="31"/>
        </w:numPr>
        <w:overflowPunct/>
        <w:autoSpaceDE/>
        <w:autoSpaceDN/>
        <w:adjustRightInd/>
        <w:spacing w:after="0"/>
        <w:textAlignment w:val="auto"/>
        <w:rPr>
          <w:rFonts w:eastAsia="MS Mincho"/>
          <w:iCs/>
          <w:lang w:eastAsia="ja-JP"/>
        </w:rPr>
      </w:pPr>
      <w:r w:rsidRPr="0097280B">
        <w:rPr>
          <w:rFonts w:eastAsia="MS Mincho"/>
          <w:iCs/>
          <w:lang w:eastAsia="ja-JP"/>
        </w:rPr>
        <w:t>UE should assume the same PDSCH start for the 1</w:t>
      </w:r>
      <w:r w:rsidRPr="0097280B">
        <w:rPr>
          <w:rFonts w:eastAsia="MS Mincho"/>
          <w:iCs/>
          <w:vertAlign w:val="superscript"/>
          <w:lang w:eastAsia="ja-JP"/>
        </w:rPr>
        <w:t>st</w:t>
      </w:r>
      <w:r w:rsidRPr="0097280B">
        <w:rPr>
          <w:rFonts w:eastAsia="MS Mincho"/>
          <w:iCs/>
          <w:lang w:eastAsia="ja-JP"/>
        </w:rPr>
        <w:t xml:space="preserve"> and 2</w:t>
      </w:r>
      <w:r w:rsidRPr="0097280B">
        <w:rPr>
          <w:rFonts w:eastAsia="MS Mincho"/>
          <w:iCs/>
          <w:vertAlign w:val="superscript"/>
          <w:lang w:eastAsia="ja-JP"/>
        </w:rPr>
        <w:t>nd</w:t>
      </w:r>
      <w:r w:rsidRPr="0097280B">
        <w:rPr>
          <w:rFonts w:eastAsia="MS Mincho"/>
          <w:iCs/>
          <w:lang w:eastAsia="ja-JP"/>
        </w:rPr>
        <w:t xml:space="preserve"> sets</w:t>
      </w:r>
    </w:p>
    <w:p w14:paraId="73A9D2DD" w14:textId="77777777" w:rsidR="005A0F18" w:rsidRDefault="005A0F18" w:rsidP="005A0F18">
      <w:pPr>
        <w:numPr>
          <w:ilvl w:val="0"/>
          <w:numId w:val="31"/>
        </w:numPr>
        <w:overflowPunct/>
        <w:autoSpaceDE/>
        <w:autoSpaceDN/>
        <w:adjustRightInd/>
        <w:spacing w:after="0"/>
        <w:textAlignment w:val="auto"/>
        <w:rPr>
          <w:rFonts w:eastAsia="MS Mincho"/>
          <w:iCs/>
          <w:lang w:eastAsia="ja-JP"/>
        </w:rPr>
      </w:pPr>
      <w:r w:rsidRPr="00043317">
        <w:rPr>
          <w:rFonts w:eastAsia="MS Mincho"/>
          <w:iCs/>
          <w:lang w:eastAsia="ja-JP"/>
        </w:rPr>
        <w:t>The number of bits for PDSCH-RE-MappingQCL indication in DCI format 2D is 2 bits (same as in Rel-14)</w:t>
      </w:r>
    </w:p>
    <w:p w14:paraId="550B650A" w14:textId="77777777" w:rsidR="005A0F18" w:rsidRPr="00043317" w:rsidRDefault="005A0F18" w:rsidP="005A0F18">
      <w:pPr>
        <w:numPr>
          <w:ilvl w:val="1"/>
          <w:numId w:val="31"/>
        </w:numPr>
        <w:overflowPunct/>
        <w:autoSpaceDE/>
        <w:autoSpaceDN/>
        <w:adjustRightInd/>
        <w:spacing w:after="0"/>
        <w:textAlignment w:val="auto"/>
        <w:rPr>
          <w:rFonts w:eastAsia="MS Mincho"/>
          <w:iCs/>
          <w:lang w:eastAsia="ja-JP"/>
        </w:rPr>
      </w:pPr>
      <w:r>
        <w:rPr>
          <w:rFonts w:eastAsia="MS Mincho"/>
          <w:iCs/>
          <w:lang w:eastAsia="ja-JP"/>
        </w:rPr>
        <w:t>FFS support of more than 2 bits</w:t>
      </w:r>
    </w:p>
    <w:p w14:paraId="31301B1B" w14:textId="77777777" w:rsidR="005A0F18" w:rsidRPr="00773732" w:rsidRDefault="005A0F18" w:rsidP="005A0F18">
      <w:pPr>
        <w:numPr>
          <w:ilvl w:val="0"/>
          <w:numId w:val="31"/>
        </w:numPr>
        <w:overflowPunct/>
        <w:autoSpaceDE/>
        <w:autoSpaceDN/>
        <w:adjustRightInd/>
        <w:spacing w:after="0"/>
        <w:textAlignment w:val="auto"/>
        <w:rPr>
          <w:rFonts w:eastAsia="MS Mincho"/>
          <w:iCs/>
          <w:lang w:eastAsia="ja-JP"/>
        </w:rPr>
      </w:pPr>
      <w:r w:rsidRPr="00773732">
        <w:rPr>
          <w:rFonts w:eastAsia="MS Mincho"/>
          <w:iCs/>
          <w:lang w:eastAsia="ja-JP"/>
        </w:rPr>
        <w:lastRenderedPageBreak/>
        <w:t>Support QCL assumption for DM-RS antenna ports as follow:</w:t>
      </w:r>
    </w:p>
    <w:p w14:paraId="1D8CB8EC" w14:textId="77777777" w:rsidR="005A0F18" w:rsidRPr="00773732" w:rsidRDefault="005A0F18" w:rsidP="005A0F18">
      <w:pPr>
        <w:numPr>
          <w:ilvl w:val="1"/>
          <w:numId w:val="31"/>
        </w:numPr>
        <w:overflowPunct/>
        <w:autoSpaceDE/>
        <w:autoSpaceDN/>
        <w:adjustRightInd/>
        <w:spacing w:after="0"/>
        <w:textAlignment w:val="auto"/>
        <w:rPr>
          <w:rFonts w:eastAsia="MS Mincho"/>
          <w:iCs/>
          <w:lang w:eastAsia="ja-JP"/>
        </w:rPr>
      </w:pPr>
      <w:r w:rsidRPr="00773732">
        <w:rPr>
          <w:rFonts w:eastAsia="MS Mincho"/>
          <w:iCs/>
          <w:lang w:eastAsia="ja-JP"/>
        </w:rPr>
        <w:t>Two CWs</w:t>
      </w:r>
    </w:p>
    <w:p w14:paraId="3A9EEE9B" w14:textId="77777777" w:rsidR="005A0F18" w:rsidRPr="00773732" w:rsidRDefault="005A0F18" w:rsidP="005A0F18">
      <w:pPr>
        <w:numPr>
          <w:ilvl w:val="2"/>
          <w:numId w:val="31"/>
        </w:numPr>
        <w:overflowPunct/>
        <w:autoSpaceDE/>
        <w:autoSpaceDN/>
        <w:adjustRightInd/>
        <w:spacing w:after="0"/>
        <w:textAlignment w:val="auto"/>
        <w:rPr>
          <w:rFonts w:eastAsia="MS Mincho"/>
          <w:iCs/>
          <w:lang w:eastAsia="ja-JP"/>
        </w:rPr>
      </w:pPr>
      <w:r w:rsidRPr="00773732">
        <w:rPr>
          <w:rFonts w:eastAsia="MS Mincho"/>
          <w:iCs/>
          <w:lang w:eastAsia="ja-JP"/>
        </w:rPr>
        <w:t>1</w:t>
      </w:r>
      <w:r w:rsidRPr="00773732">
        <w:rPr>
          <w:rFonts w:eastAsia="MS Mincho"/>
          <w:iCs/>
          <w:vertAlign w:val="superscript"/>
          <w:lang w:eastAsia="ja-JP"/>
        </w:rPr>
        <w:t>st</w:t>
      </w:r>
      <w:r w:rsidRPr="00773732">
        <w:rPr>
          <w:rFonts w:eastAsia="MS Mincho"/>
          <w:iCs/>
          <w:lang w:eastAsia="ja-JP"/>
        </w:rPr>
        <w:t xml:space="preserve"> CW: DM-RS antenna port (s) associated with 1</w:t>
      </w:r>
      <w:r w:rsidRPr="00773732">
        <w:rPr>
          <w:rFonts w:eastAsia="MS Mincho"/>
          <w:iCs/>
          <w:vertAlign w:val="superscript"/>
          <w:lang w:eastAsia="ja-JP"/>
        </w:rPr>
        <w:t>st</w:t>
      </w:r>
      <w:r w:rsidRPr="00773732">
        <w:rPr>
          <w:rFonts w:eastAsia="MS Mincho"/>
          <w:iCs/>
          <w:lang w:eastAsia="ja-JP"/>
        </w:rPr>
        <w:t xml:space="preserve"> CW are QCL-ed with NZP CSI-RS defined by ‘ID NZP CSI-RS for QCL’ in the 1</w:t>
      </w:r>
      <w:r w:rsidRPr="00773732">
        <w:rPr>
          <w:rFonts w:eastAsia="MS Mincho"/>
          <w:iCs/>
          <w:vertAlign w:val="superscript"/>
          <w:lang w:eastAsia="ja-JP"/>
        </w:rPr>
        <w:t>st</w:t>
      </w:r>
      <w:r w:rsidRPr="00773732">
        <w:rPr>
          <w:rFonts w:eastAsia="MS Mincho"/>
          <w:iCs/>
          <w:lang w:eastAsia="ja-JP"/>
        </w:rPr>
        <w:t xml:space="preserve"> set of parameters in PDSCH-RE-Mapping QCL</w:t>
      </w:r>
    </w:p>
    <w:p w14:paraId="7E3484F9" w14:textId="77777777" w:rsidR="005A0F18" w:rsidRPr="00773732" w:rsidRDefault="005A0F18" w:rsidP="005A0F18">
      <w:pPr>
        <w:numPr>
          <w:ilvl w:val="2"/>
          <w:numId w:val="31"/>
        </w:numPr>
        <w:overflowPunct/>
        <w:autoSpaceDE/>
        <w:autoSpaceDN/>
        <w:adjustRightInd/>
        <w:spacing w:after="0"/>
        <w:textAlignment w:val="auto"/>
        <w:rPr>
          <w:rFonts w:eastAsia="MS Mincho"/>
          <w:iCs/>
          <w:lang w:eastAsia="ja-JP"/>
        </w:rPr>
      </w:pPr>
      <w:r w:rsidRPr="00773732">
        <w:rPr>
          <w:rFonts w:eastAsia="MS Mincho"/>
          <w:iCs/>
          <w:lang w:eastAsia="ja-JP"/>
        </w:rPr>
        <w:t>2</w:t>
      </w:r>
      <w:r w:rsidRPr="00773732">
        <w:rPr>
          <w:rFonts w:eastAsia="MS Mincho"/>
          <w:iCs/>
          <w:vertAlign w:val="superscript"/>
          <w:lang w:eastAsia="ja-JP"/>
        </w:rPr>
        <w:t>nd</w:t>
      </w:r>
      <w:r w:rsidRPr="00773732">
        <w:rPr>
          <w:rFonts w:eastAsia="MS Mincho"/>
          <w:iCs/>
          <w:lang w:eastAsia="ja-JP"/>
        </w:rPr>
        <w:t xml:space="preserve"> CW: DM-RS antenna port(s) associated with 2</w:t>
      </w:r>
      <w:r w:rsidRPr="00773732">
        <w:rPr>
          <w:rFonts w:eastAsia="MS Mincho"/>
          <w:iCs/>
          <w:vertAlign w:val="superscript"/>
          <w:lang w:eastAsia="ja-JP"/>
        </w:rPr>
        <w:t>nd</w:t>
      </w:r>
      <w:r w:rsidRPr="00773732">
        <w:rPr>
          <w:rFonts w:eastAsia="MS Mincho"/>
          <w:iCs/>
          <w:lang w:eastAsia="ja-JP"/>
        </w:rPr>
        <w:t xml:space="preserve"> CW are QCL-ed with NZP CSI-RS defined by ‘ID NZP CSI-RS for QCL’ in the 2</w:t>
      </w:r>
      <w:r w:rsidRPr="00773732">
        <w:rPr>
          <w:rFonts w:eastAsia="MS Mincho"/>
          <w:iCs/>
          <w:vertAlign w:val="superscript"/>
          <w:lang w:eastAsia="ja-JP"/>
        </w:rPr>
        <w:t>nd</w:t>
      </w:r>
      <w:r w:rsidRPr="00773732">
        <w:rPr>
          <w:rFonts w:eastAsia="MS Mincho"/>
          <w:iCs/>
          <w:lang w:eastAsia="ja-JP"/>
        </w:rPr>
        <w:t xml:space="preserve"> set of parameters in PDSCH-RE-Mapping QCL</w:t>
      </w:r>
    </w:p>
    <w:p w14:paraId="3FDE4E66" w14:textId="77777777" w:rsidR="005A0F18" w:rsidRPr="00773732" w:rsidRDefault="005A0F18" w:rsidP="005A0F18">
      <w:pPr>
        <w:numPr>
          <w:ilvl w:val="1"/>
          <w:numId w:val="31"/>
        </w:numPr>
        <w:overflowPunct/>
        <w:autoSpaceDE/>
        <w:autoSpaceDN/>
        <w:adjustRightInd/>
        <w:spacing w:after="0"/>
        <w:textAlignment w:val="auto"/>
        <w:rPr>
          <w:rFonts w:eastAsia="MS Mincho"/>
          <w:iCs/>
          <w:lang w:eastAsia="ja-JP"/>
        </w:rPr>
      </w:pPr>
      <w:r w:rsidRPr="00773732">
        <w:rPr>
          <w:rFonts w:eastAsia="MS Mincho"/>
          <w:iCs/>
          <w:lang w:eastAsia="ja-JP"/>
        </w:rPr>
        <w:t>One CW</w:t>
      </w:r>
    </w:p>
    <w:p w14:paraId="4E728854" w14:textId="77777777" w:rsidR="005A0F18" w:rsidRPr="00773732" w:rsidRDefault="005A0F18" w:rsidP="005A0F18">
      <w:pPr>
        <w:numPr>
          <w:ilvl w:val="2"/>
          <w:numId w:val="31"/>
        </w:numPr>
        <w:overflowPunct/>
        <w:autoSpaceDE/>
        <w:autoSpaceDN/>
        <w:adjustRightInd/>
        <w:spacing w:after="0"/>
        <w:textAlignment w:val="auto"/>
        <w:rPr>
          <w:rFonts w:eastAsia="MS Mincho"/>
          <w:iCs/>
          <w:lang w:eastAsia="ja-JP"/>
        </w:rPr>
      </w:pPr>
      <w:r w:rsidRPr="00773732">
        <w:rPr>
          <w:rFonts w:eastAsia="MS Mincho"/>
          <w:iCs/>
          <w:lang w:eastAsia="ja-JP"/>
        </w:rPr>
        <w:t>All DM-RS antenna ports are QCL-ed with NZP CSI-RS defined by ‘ID NZP CSI-RS for QCL’ in the 1</w:t>
      </w:r>
      <w:r w:rsidRPr="00773732">
        <w:rPr>
          <w:rFonts w:eastAsia="MS Mincho"/>
          <w:iCs/>
          <w:vertAlign w:val="superscript"/>
          <w:lang w:eastAsia="ja-JP"/>
        </w:rPr>
        <w:t>st</w:t>
      </w:r>
      <w:r w:rsidRPr="00773732">
        <w:rPr>
          <w:rFonts w:eastAsia="MS Mincho"/>
          <w:iCs/>
          <w:lang w:eastAsia="ja-JP"/>
        </w:rPr>
        <w:t xml:space="preserve"> set of parameters in PDSCH-RE-Mapping QCL</w:t>
      </w:r>
    </w:p>
    <w:p w14:paraId="1AE4E03A" w14:textId="77777777" w:rsidR="005A0F18" w:rsidRPr="005C5083" w:rsidRDefault="005A0F18" w:rsidP="005A0F18">
      <w:pPr>
        <w:numPr>
          <w:ilvl w:val="0"/>
          <w:numId w:val="31"/>
        </w:numPr>
        <w:overflowPunct/>
        <w:autoSpaceDE/>
        <w:autoSpaceDN/>
        <w:adjustRightInd/>
        <w:spacing w:after="0"/>
        <w:textAlignment w:val="auto"/>
        <w:rPr>
          <w:rFonts w:eastAsia="MS Mincho"/>
          <w:iCs/>
          <w:lang w:eastAsia="ja-JP"/>
        </w:rPr>
      </w:pPr>
      <w:r w:rsidRPr="00773732">
        <w:rPr>
          <w:rFonts w:eastAsia="MS Mincho"/>
          <w:iCs/>
          <w:lang w:eastAsia="ja-JP"/>
        </w:rPr>
        <w:t xml:space="preserve">PDSCH RE mapping for new QCL type </w:t>
      </w:r>
    </w:p>
    <w:p w14:paraId="597ABF26" w14:textId="77777777" w:rsidR="005A0F18" w:rsidRPr="00773732" w:rsidRDefault="005A0F18" w:rsidP="005A0F18">
      <w:pPr>
        <w:numPr>
          <w:ilvl w:val="1"/>
          <w:numId w:val="31"/>
        </w:numPr>
        <w:overflowPunct/>
        <w:autoSpaceDE/>
        <w:autoSpaceDN/>
        <w:adjustRightInd/>
        <w:spacing w:after="0"/>
        <w:textAlignment w:val="auto"/>
        <w:rPr>
          <w:rFonts w:eastAsia="MS Mincho"/>
          <w:iCs/>
          <w:lang w:eastAsia="ja-JP"/>
        </w:rPr>
      </w:pPr>
      <w:r w:rsidRPr="00773732">
        <w:rPr>
          <w:rFonts w:eastAsia="MS Mincho"/>
          <w:iCs/>
          <w:lang w:eastAsia="ja-JP"/>
        </w:rPr>
        <w:t>Two CWs</w:t>
      </w:r>
    </w:p>
    <w:p w14:paraId="550409D7" w14:textId="77777777" w:rsidR="005A0F18" w:rsidRPr="00773732" w:rsidRDefault="005A0F18" w:rsidP="005A0F18">
      <w:pPr>
        <w:numPr>
          <w:ilvl w:val="2"/>
          <w:numId w:val="31"/>
        </w:numPr>
        <w:overflowPunct/>
        <w:autoSpaceDE/>
        <w:autoSpaceDN/>
        <w:adjustRightInd/>
        <w:spacing w:after="0"/>
        <w:textAlignment w:val="auto"/>
        <w:rPr>
          <w:rFonts w:eastAsia="MS Mincho"/>
          <w:iCs/>
          <w:lang w:eastAsia="ja-JP"/>
        </w:rPr>
      </w:pPr>
      <w:r w:rsidRPr="00773732">
        <w:rPr>
          <w:rFonts w:eastAsia="MS Mincho"/>
          <w:iCs/>
          <w:lang w:eastAsia="ja-JP"/>
        </w:rPr>
        <w:t>1</w:t>
      </w:r>
      <w:r w:rsidRPr="00773732">
        <w:rPr>
          <w:rFonts w:eastAsia="MS Mincho"/>
          <w:iCs/>
          <w:vertAlign w:val="superscript"/>
          <w:lang w:eastAsia="ja-JP"/>
        </w:rPr>
        <w:t>st</w:t>
      </w:r>
      <w:r w:rsidRPr="00773732">
        <w:rPr>
          <w:rFonts w:eastAsia="MS Mincho"/>
          <w:iCs/>
          <w:lang w:eastAsia="ja-JP"/>
        </w:rPr>
        <w:t xml:space="preserve"> CW: PDSCH layers associated with 1</w:t>
      </w:r>
      <w:r w:rsidRPr="00773732">
        <w:rPr>
          <w:rFonts w:eastAsia="MS Mincho"/>
          <w:iCs/>
          <w:vertAlign w:val="superscript"/>
          <w:lang w:eastAsia="ja-JP"/>
        </w:rPr>
        <w:t>st</w:t>
      </w:r>
      <w:r w:rsidRPr="00773732">
        <w:rPr>
          <w:rFonts w:eastAsia="MS Mincho"/>
          <w:iCs/>
          <w:lang w:eastAsia="ja-JP"/>
        </w:rPr>
        <w:t xml:space="preserve"> CW follows PDSCH RE mapping according to the 1</w:t>
      </w:r>
      <w:r w:rsidRPr="00773732">
        <w:rPr>
          <w:rFonts w:eastAsia="MS Mincho"/>
          <w:iCs/>
          <w:vertAlign w:val="superscript"/>
          <w:lang w:eastAsia="ja-JP"/>
        </w:rPr>
        <w:t>st</w:t>
      </w:r>
      <w:r w:rsidRPr="00773732">
        <w:rPr>
          <w:rFonts w:eastAsia="MS Mincho"/>
          <w:iCs/>
          <w:lang w:eastAsia="ja-JP"/>
        </w:rPr>
        <w:t xml:space="preserve"> set of parameters in PDSCH-RE-MappingQCL</w:t>
      </w:r>
    </w:p>
    <w:p w14:paraId="16FA72AC" w14:textId="77777777" w:rsidR="005A0F18" w:rsidRPr="005C5083" w:rsidRDefault="005A0F18" w:rsidP="005A0F18">
      <w:pPr>
        <w:numPr>
          <w:ilvl w:val="2"/>
          <w:numId w:val="31"/>
        </w:numPr>
        <w:overflowPunct/>
        <w:autoSpaceDE/>
        <w:autoSpaceDN/>
        <w:adjustRightInd/>
        <w:spacing w:after="0"/>
        <w:textAlignment w:val="auto"/>
        <w:rPr>
          <w:rFonts w:eastAsia="MS Mincho"/>
          <w:iCs/>
          <w:lang w:eastAsia="ja-JP"/>
        </w:rPr>
      </w:pPr>
      <w:r w:rsidRPr="00773732">
        <w:rPr>
          <w:rFonts w:eastAsia="MS Mincho"/>
          <w:iCs/>
          <w:lang w:eastAsia="ja-JP"/>
        </w:rPr>
        <w:t>2</w:t>
      </w:r>
      <w:r w:rsidRPr="00773732">
        <w:rPr>
          <w:rFonts w:eastAsia="MS Mincho"/>
          <w:iCs/>
          <w:vertAlign w:val="superscript"/>
          <w:lang w:eastAsia="ja-JP"/>
        </w:rPr>
        <w:t>nd</w:t>
      </w:r>
      <w:r w:rsidRPr="00773732">
        <w:rPr>
          <w:rFonts w:eastAsia="MS Mincho"/>
          <w:iCs/>
          <w:lang w:eastAsia="ja-JP"/>
        </w:rPr>
        <w:t xml:space="preserve"> CW: PDSCH layers associated with 2</w:t>
      </w:r>
      <w:r w:rsidRPr="00773732">
        <w:rPr>
          <w:rFonts w:eastAsia="MS Mincho"/>
          <w:iCs/>
          <w:vertAlign w:val="superscript"/>
          <w:lang w:eastAsia="ja-JP"/>
        </w:rPr>
        <w:t>nd</w:t>
      </w:r>
      <w:r w:rsidRPr="00773732">
        <w:rPr>
          <w:rFonts w:eastAsia="MS Mincho"/>
          <w:iCs/>
          <w:lang w:eastAsia="ja-JP"/>
        </w:rPr>
        <w:t xml:space="preserve"> CW follows PDSCH RE mapping according to the 2</w:t>
      </w:r>
      <w:r w:rsidRPr="00773732">
        <w:rPr>
          <w:rFonts w:eastAsia="MS Mincho"/>
          <w:iCs/>
          <w:vertAlign w:val="superscript"/>
          <w:lang w:eastAsia="ja-JP"/>
        </w:rPr>
        <w:t>nd</w:t>
      </w:r>
      <w:r w:rsidRPr="00773732">
        <w:rPr>
          <w:rFonts w:eastAsia="MS Mincho"/>
          <w:iCs/>
          <w:lang w:eastAsia="ja-JP"/>
        </w:rPr>
        <w:t xml:space="preserve"> set of parameters in PDSCH-RE-MappingQCL</w:t>
      </w:r>
    </w:p>
    <w:p w14:paraId="210DE3BD" w14:textId="77777777" w:rsidR="005A0F18" w:rsidRPr="00773732" w:rsidRDefault="005A0F18" w:rsidP="005A0F18">
      <w:pPr>
        <w:numPr>
          <w:ilvl w:val="1"/>
          <w:numId w:val="31"/>
        </w:numPr>
        <w:overflowPunct/>
        <w:autoSpaceDE/>
        <w:autoSpaceDN/>
        <w:adjustRightInd/>
        <w:spacing w:after="0"/>
        <w:textAlignment w:val="auto"/>
        <w:rPr>
          <w:rFonts w:eastAsia="MS Mincho"/>
          <w:iCs/>
          <w:lang w:eastAsia="ja-JP"/>
        </w:rPr>
      </w:pPr>
      <w:r w:rsidRPr="00773732">
        <w:rPr>
          <w:rFonts w:eastAsia="MS Mincho"/>
          <w:iCs/>
          <w:lang w:eastAsia="ja-JP"/>
        </w:rPr>
        <w:t>One CW</w:t>
      </w:r>
    </w:p>
    <w:p w14:paraId="2CE6866E" w14:textId="77777777" w:rsidR="005A0F18" w:rsidRPr="00D567DA" w:rsidRDefault="005A0F18" w:rsidP="005A0F18">
      <w:pPr>
        <w:numPr>
          <w:ilvl w:val="2"/>
          <w:numId w:val="31"/>
        </w:numPr>
        <w:overflowPunct/>
        <w:autoSpaceDE/>
        <w:autoSpaceDN/>
        <w:adjustRightInd/>
        <w:spacing w:after="0"/>
        <w:textAlignment w:val="auto"/>
        <w:rPr>
          <w:rFonts w:eastAsia="MS Mincho"/>
          <w:iCs/>
          <w:lang w:eastAsia="ja-JP"/>
        </w:rPr>
      </w:pPr>
      <w:r w:rsidRPr="00773732">
        <w:rPr>
          <w:rFonts w:eastAsia="MS Mincho"/>
          <w:iCs/>
          <w:lang w:eastAsia="ja-JP"/>
        </w:rPr>
        <w:t>PDSCH layers associated with CW follows PDSCH RE mapping according to the 1</w:t>
      </w:r>
      <w:r w:rsidRPr="00773732">
        <w:rPr>
          <w:rFonts w:eastAsia="MS Mincho"/>
          <w:iCs/>
          <w:vertAlign w:val="superscript"/>
          <w:lang w:eastAsia="ja-JP"/>
        </w:rPr>
        <w:t>st</w:t>
      </w:r>
      <w:r w:rsidRPr="00773732">
        <w:rPr>
          <w:rFonts w:eastAsia="MS Mincho"/>
          <w:iCs/>
          <w:lang w:eastAsia="ja-JP"/>
        </w:rPr>
        <w:t xml:space="preserve"> set of parameters in PDSCH-RE-MappingQCL</w:t>
      </w:r>
    </w:p>
    <w:p w14:paraId="22BFE95A" w14:textId="77777777" w:rsidR="005A0F18" w:rsidRPr="00773732" w:rsidRDefault="005A0F18" w:rsidP="005A0F18">
      <w:pPr>
        <w:numPr>
          <w:ilvl w:val="0"/>
          <w:numId w:val="31"/>
        </w:numPr>
        <w:overflowPunct/>
        <w:autoSpaceDE/>
        <w:autoSpaceDN/>
        <w:adjustRightInd/>
        <w:spacing w:after="0"/>
        <w:textAlignment w:val="auto"/>
        <w:rPr>
          <w:rFonts w:eastAsia="MS Mincho"/>
          <w:iCs/>
          <w:lang w:eastAsia="ja-JP"/>
        </w:rPr>
      </w:pPr>
      <w:r>
        <w:rPr>
          <w:rFonts w:eastAsia="MS Mincho"/>
          <w:iCs/>
          <w:lang w:eastAsia="ja-JP"/>
        </w:rPr>
        <w:t xml:space="preserve">FFS whether to support PDSCH RE mapping around two sets of </w:t>
      </w:r>
      <w:r w:rsidRPr="00773732">
        <w:rPr>
          <w:rFonts w:eastAsia="MS Mincho"/>
          <w:iCs/>
          <w:lang w:eastAsia="ja-JP"/>
        </w:rPr>
        <w:t>PDSCH RE</w:t>
      </w:r>
      <w:r>
        <w:rPr>
          <w:rFonts w:eastAsia="MS Mincho"/>
          <w:iCs/>
          <w:lang w:eastAsia="ja-JP"/>
        </w:rPr>
        <w:t xml:space="preserve"> parameters in </w:t>
      </w:r>
      <w:r w:rsidRPr="00773732">
        <w:rPr>
          <w:rFonts w:eastAsia="MS Mincho"/>
          <w:iCs/>
          <w:lang w:eastAsia="ja-JP"/>
        </w:rPr>
        <w:t>PDSCH-RE-MappingQCL</w:t>
      </w:r>
    </w:p>
    <w:p w14:paraId="513DAB09" w14:textId="77777777" w:rsidR="005A0F18" w:rsidRPr="005A0F18" w:rsidRDefault="005A0F18" w:rsidP="00507432">
      <w:pPr>
        <w:jc w:val="both"/>
        <w:rPr>
          <w:b/>
        </w:rPr>
      </w:pPr>
    </w:p>
    <w:p w14:paraId="102E418E" w14:textId="5D35D662" w:rsidR="00507432" w:rsidRDefault="00507432" w:rsidP="00507432">
      <w:pPr>
        <w:jc w:val="both"/>
      </w:pPr>
      <w:r>
        <w:t xml:space="preserve">In this paper, we focus on </w:t>
      </w:r>
      <w:r w:rsidR="009E3776">
        <w:t>PDSCH RE mapping and resource allocation design for NCJT, assuming single DCI.</w:t>
      </w:r>
    </w:p>
    <w:p w14:paraId="488AD007" w14:textId="47602FAB" w:rsidR="00491EEE" w:rsidRDefault="00491EEE" w:rsidP="00F30894">
      <w:pPr>
        <w:pStyle w:val="Heading1"/>
        <w:jc w:val="both"/>
      </w:pPr>
      <w:r w:rsidRPr="00CC27F5">
        <w:t>2</w:t>
      </w:r>
      <w:r w:rsidRPr="00CC27F5">
        <w:tab/>
      </w:r>
      <w:r w:rsidR="00507432">
        <w:t>Discussion</w:t>
      </w:r>
    </w:p>
    <w:p w14:paraId="6E71F7F5" w14:textId="77777777" w:rsidR="00AD3B96" w:rsidRDefault="00AD3B96" w:rsidP="00AD3B96">
      <w:pPr>
        <w:rPr>
          <w:lang w:eastAsia="zh-CN"/>
        </w:rPr>
      </w:pPr>
      <w:r>
        <w:t>In the WID, three r</w:t>
      </w:r>
      <w:r w:rsidRPr="007D7A83">
        <w:t>esource</w:t>
      </w:r>
      <w:r>
        <w:t xml:space="preserve"> allocation schemes are defined</w:t>
      </w:r>
      <w:r w:rsidRPr="00A5290F">
        <w:t>:</w:t>
      </w:r>
    </w:p>
    <w:p w14:paraId="25426F49" w14:textId="77777777" w:rsidR="00AD3B96" w:rsidRDefault="00AD3B96" w:rsidP="00AD3B96">
      <w:pPr>
        <w:pStyle w:val="B2"/>
        <w:ind w:left="644"/>
      </w:pPr>
      <w:r>
        <w:rPr>
          <w:b/>
          <w:bCs/>
        </w:rPr>
        <w:tab/>
      </w:r>
      <w:r w:rsidRPr="00786F25">
        <w:rPr>
          <w:b/>
          <w:bCs/>
        </w:rPr>
        <w:t>Scheme</w:t>
      </w:r>
      <w:r w:rsidRPr="00786F25">
        <w:rPr>
          <w:rFonts w:hint="eastAsia"/>
          <w:b/>
          <w:bCs/>
        </w:rPr>
        <w:t xml:space="preserve"> </w:t>
      </w:r>
      <w:r w:rsidRPr="00786F25">
        <w:rPr>
          <w:b/>
          <w:bCs/>
        </w:rPr>
        <w:t>1</w:t>
      </w:r>
      <w:r w:rsidRPr="00786F25">
        <w:rPr>
          <w:bCs/>
        </w:rPr>
        <w:t xml:space="preserve">: </w:t>
      </w:r>
      <w:r w:rsidRPr="00786F25">
        <w:t>The resource allocations from different TPs for a UE are fully overlapped</w:t>
      </w:r>
    </w:p>
    <w:p w14:paraId="00B411F9" w14:textId="77777777" w:rsidR="00AD3B96" w:rsidRDefault="00AD3B96" w:rsidP="00AD3B96">
      <w:pPr>
        <w:pStyle w:val="B2"/>
        <w:ind w:left="644"/>
      </w:pPr>
      <w:r>
        <w:rPr>
          <w:b/>
          <w:bCs/>
        </w:rPr>
        <w:tab/>
      </w:r>
      <w:r w:rsidRPr="002C7259">
        <w:rPr>
          <w:b/>
          <w:bCs/>
        </w:rPr>
        <w:t>Scheme</w:t>
      </w:r>
      <w:r>
        <w:rPr>
          <w:rFonts w:hint="eastAsia"/>
          <w:b/>
          <w:bCs/>
        </w:rPr>
        <w:t xml:space="preserve"> </w:t>
      </w:r>
      <w:r w:rsidRPr="002C7259">
        <w:rPr>
          <w:b/>
          <w:bCs/>
        </w:rPr>
        <w:t>2</w:t>
      </w:r>
      <w:r w:rsidRPr="00786F25">
        <w:rPr>
          <w:bCs/>
        </w:rPr>
        <w:t xml:space="preserve">: </w:t>
      </w:r>
      <w:r>
        <w:t>The</w:t>
      </w:r>
      <w:r w:rsidRPr="002C7259" w:rsidDel="00AC50F1">
        <w:t xml:space="preserve"> resource allocations from different TPs for a UE are part</w:t>
      </w:r>
      <w:r w:rsidDel="00AC50F1">
        <w:t>ial</w:t>
      </w:r>
      <w:r w:rsidRPr="002C7259" w:rsidDel="00AC50F1">
        <w:t>ly overlapped</w:t>
      </w:r>
    </w:p>
    <w:p w14:paraId="172237C1" w14:textId="77777777" w:rsidR="00AD3B96" w:rsidRPr="00786F25" w:rsidRDefault="00AD3B96" w:rsidP="00AD3B96">
      <w:pPr>
        <w:pStyle w:val="B2"/>
        <w:ind w:left="644"/>
      </w:pPr>
      <w:r>
        <w:rPr>
          <w:b/>
          <w:bCs/>
        </w:rPr>
        <w:tab/>
      </w:r>
      <w:r w:rsidRPr="002C7259">
        <w:rPr>
          <w:b/>
          <w:bCs/>
        </w:rPr>
        <w:t>Scheme</w:t>
      </w:r>
      <w:r>
        <w:rPr>
          <w:rFonts w:hint="eastAsia"/>
          <w:b/>
          <w:bCs/>
        </w:rPr>
        <w:t xml:space="preserve"> </w:t>
      </w:r>
      <w:r w:rsidRPr="002C7259">
        <w:rPr>
          <w:b/>
          <w:bCs/>
        </w:rPr>
        <w:t>3</w:t>
      </w:r>
      <w:r w:rsidRPr="00786F25">
        <w:rPr>
          <w:bCs/>
        </w:rPr>
        <w:t xml:space="preserve">: </w:t>
      </w:r>
      <w:r>
        <w:t>The</w:t>
      </w:r>
      <w:r w:rsidRPr="002C7259">
        <w:t xml:space="preserve"> resource allocations from different TPs for a UE are not overlapped</w:t>
      </w:r>
    </w:p>
    <w:p w14:paraId="16C1A6BB" w14:textId="77777777" w:rsidR="00AD3B96" w:rsidRDefault="00AD3B96" w:rsidP="00AD3B96">
      <w:r>
        <w:t>In RAN1 #89, scheme 1 was agreed and scheme 3 was left as FFS.</w:t>
      </w:r>
    </w:p>
    <w:p w14:paraId="1E261B15" w14:textId="77777777" w:rsidR="00AD3B96" w:rsidRDefault="00AD3B96" w:rsidP="00AD3B96">
      <w:r>
        <w:t>Scheme 3 implies the restriction that a UE cannot be assigned full bandwidth from both TPs. Consider the limited availability of study time, we propose to focus on scheme 1 only for NCJT.</w:t>
      </w:r>
    </w:p>
    <w:p w14:paraId="36E9A6DF" w14:textId="21B796B8" w:rsidR="00AD3B96" w:rsidRDefault="00AD3B96" w:rsidP="00AD3B96">
      <w:pPr>
        <w:rPr>
          <w:b/>
          <w:lang w:val="en-GB"/>
        </w:rPr>
      </w:pPr>
      <w:bookmarkStart w:id="2" w:name="p1"/>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D920AB">
        <w:rPr>
          <w:b/>
          <w:noProof/>
          <w:lang w:val="en-GB"/>
        </w:rPr>
        <w:t>1</w:t>
      </w:r>
      <w:r w:rsidRPr="00A224A1">
        <w:rPr>
          <w:b/>
          <w:lang w:val="en-GB"/>
        </w:rPr>
        <w:fldChar w:fldCharType="end"/>
      </w:r>
      <w:r w:rsidRPr="00A224A1">
        <w:rPr>
          <w:b/>
          <w:lang w:val="en-GB"/>
        </w:rPr>
        <w:t xml:space="preserve">.  </w:t>
      </w:r>
      <w:r>
        <w:rPr>
          <w:b/>
          <w:lang w:val="en-GB"/>
        </w:rPr>
        <w:t xml:space="preserve">NCJT in feCoMP only support different CWs from different TPs with independent precoding, fully overlapped resource allocation from different TPs. </w:t>
      </w:r>
    </w:p>
    <w:bookmarkEnd w:id="2"/>
    <w:p w14:paraId="565CD276" w14:textId="77777777" w:rsidR="00BC6568" w:rsidRDefault="00BC6568" w:rsidP="002B6233">
      <w:pPr>
        <w:rPr>
          <w:lang w:val="en-GB"/>
        </w:rPr>
      </w:pPr>
    </w:p>
    <w:p w14:paraId="3990DC78" w14:textId="32A15DCF" w:rsidR="00BC6568" w:rsidRDefault="00CE2ED6" w:rsidP="002B6233">
      <w:pPr>
        <w:rPr>
          <w:lang w:val="en-GB"/>
        </w:rPr>
      </w:pPr>
      <w:r>
        <w:rPr>
          <w:lang w:val="en-GB"/>
        </w:rPr>
        <w:t xml:space="preserve">For </w:t>
      </w:r>
      <w:r w:rsidR="00302AE9">
        <w:rPr>
          <w:lang w:val="en-GB"/>
        </w:rPr>
        <w:t xml:space="preserve">DMRS port to layer mapping, </w:t>
      </w:r>
      <w:r w:rsidR="00BC6568">
        <w:rPr>
          <w:lang w:val="en-GB"/>
        </w:rPr>
        <w:t xml:space="preserve">during NR Adhoc #2, one proposal has been discussed is to FDM REs used by different DMRS ports for </w:t>
      </w:r>
      <w:r w:rsidR="00BF3091">
        <w:rPr>
          <w:lang w:val="en-GB"/>
        </w:rPr>
        <w:t xml:space="preserve">rank 3 and above, as show in </w:t>
      </w:r>
      <w:r w:rsidR="00BF3091">
        <w:rPr>
          <w:lang w:val="en-GB"/>
        </w:rPr>
        <w:fldChar w:fldCharType="begin"/>
      </w:r>
      <w:r w:rsidR="00BF3091">
        <w:rPr>
          <w:lang w:val="en-GB"/>
        </w:rPr>
        <w:instrText xml:space="preserve"> REF _Ref490057896 \h </w:instrText>
      </w:r>
      <w:r w:rsidR="00BF3091">
        <w:rPr>
          <w:lang w:val="en-GB"/>
        </w:rPr>
      </w:r>
      <w:r w:rsidR="00BF3091">
        <w:rPr>
          <w:lang w:val="en-GB"/>
        </w:rPr>
        <w:fldChar w:fldCharType="separate"/>
      </w:r>
      <w:r w:rsidR="00D920AB">
        <w:t xml:space="preserve">Table </w:t>
      </w:r>
      <w:r w:rsidR="00D920AB">
        <w:rPr>
          <w:noProof/>
        </w:rPr>
        <w:t>1</w:t>
      </w:r>
      <w:r w:rsidR="00BF3091">
        <w:rPr>
          <w:lang w:val="en-GB"/>
        </w:rPr>
        <w:fldChar w:fldCharType="end"/>
      </w:r>
      <w:r w:rsidR="00BC6568">
        <w:rPr>
          <w:lang w:val="en-GB"/>
        </w:rPr>
        <w:t>.</w:t>
      </w:r>
    </w:p>
    <w:p w14:paraId="5CF72394" w14:textId="453AAD85" w:rsidR="00BC6568" w:rsidRDefault="00BC6568" w:rsidP="00BC6568">
      <w:pPr>
        <w:pStyle w:val="Caption"/>
      </w:pPr>
      <w:bookmarkStart w:id="3" w:name="_Ref490057896"/>
      <w:r>
        <w:t xml:space="preserve">Table </w:t>
      </w:r>
      <w:fldSimple w:instr=" SEQ Table \* ARABIC ">
        <w:r w:rsidR="00D920AB">
          <w:rPr>
            <w:noProof/>
          </w:rPr>
          <w:t>1</w:t>
        </w:r>
      </w:fldSimple>
      <w:bookmarkEnd w:id="3"/>
      <w:r>
        <w:t xml:space="preserve">. DMRS port to layer mapping with </w:t>
      </w:r>
      <w:r w:rsidR="00BF3091">
        <w:t>partial FDM</w:t>
      </w:r>
      <w:r>
        <w:t xml:space="preserve"> DMRS port g</w:t>
      </w:r>
      <w:r w:rsidR="00BF3091">
        <w:t>rou</w:t>
      </w:r>
      <w:r>
        <w:t>ps</w:t>
      </w:r>
    </w:p>
    <w:tbl>
      <w:tblPr>
        <w:tblStyle w:val="GridTable4-Accent5"/>
        <w:tblW w:w="0" w:type="auto"/>
        <w:jc w:val="center"/>
        <w:tblCellMar>
          <w:left w:w="115" w:type="dxa"/>
          <w:right w:w="115" w:type="dxa"/>
        </w:tblCellMar>
        <w:tblLook w:val="04A0" w:firstRow="1" w:lastRow="0" w:firstColumn="1" w:lastColumn="0" w:noHBand="0" w:noVBand="1"/>
      </w:tblPr>
      <w:tblGrid>
        <w:gridCol w:w="1345"/>
        <w:gridCol w:w="1170"/>
        <w:gridCol w:w="1260"/>
      </w:tblGrid>
      <w:tr w:rsidR="00302AE9" w14:paraId="60861552" w14:textId="77777777" w:rsidTr="00302AE9">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345" w:type="dxa"/>
            <w:vMerge w:val="restart"/>
          </w:tcPr>
          <w:p w14:paraId="03EAB19B" w14:textId="3F29EADD" w:rsidR="00302AE9" w:rsidRDefault="00302AE9" w:rsidP="00302AE9">
            <w:pPr>
              <w:spacing w:after="0"/>
              <w:rPr>
                <w:lang w:val="en-GB"/>
              </w:rPr>
            </w:pPr>
            <w:r>
              <w:rPr>
                <w:lang w:val="en-GB"/>
              </w:rPr>
              <w:t>Rank</w:t>
            </w:r>
          </w:p>
        </w:tc>
        <w:tc>
          <w:tcPr>
            <w:tcW w:w="2430" w:type="dxa"/>
            <w:gridSpan w:val="2"/>
          </w:tcPr>
          <w:p w14:paraId="35C4E6C2" w14:textId="75939519" w:rsidR="00302AE9" w:rsidRDefault="00302AE9" w:rsidP="00302AE9">
            <w:pPr>
              <w:spacing w:after="0"/>
              <w:cnfStyle w:val="100000000000" w:firstRow="1" w:lastRow="0" w:firstColumn="0" w:lastColumn="0" w:oddVBand="0" w:evenVBand="0" w:oddHBand="0" w:evenHBand="0" w:firstRowFirstColumn="0" w:firstRowLastColumn="0" w:lastRowFirstColumn="0" w:lastRowLastColumn="0"/>
              <w:rPr>
                <w:lang w:val="en-GB"/>
              </w:rPr>
            </w:pPr>
            <w:r>
              <w:rPr>
                <w:lang w:val="en-GB"/>
              </w:rPr>
              <w:t>DMRS to layer mapping</w:t>
            </w:r>
          </w:p>
        </w:tc>
      </w:tr>
      <w:tr w:rsidR="00302AE9" w14:paraId="7E383929" w14:textId="77777777" w:rsidTr="00302AE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345" w:type="dxa"/>
            <w:vMerge/>
          </w:tcPr>
          <w:p w14:paraId="12ECE380" w14:textId="77777777" w:rsidR="00302AE9" w:rsidRDefault="00302AE9" w:rsidP="00302AE9">
            <w:pPr>
              <w:spacing w:after="0"/>
              <w:rPr>
                <w:lang w:val="en-GB"/>
              </w:rPr>
            </w:pPr>
          </w:p>
        </w:tc>
        <w:tc>
          <w:tcPr>
            <w:tcW w:w="1170" w:type="dxa"/>
          </w:tcPr>
          <w:p w14:paraId="24E070E1" w14:textId="56BD104E" w:rsidR="00302AE9" w:rsidRDefault="00302AE9" w:rsidP="00302AE9">
            <w:pPr>
              <w:spacing w:after="0"/>
              <w:cnfStyle w:val="000000100000" w:firstRow="0" w:lastRow="0" w:firstColumn="0" w:lastColumn="0" w:oddVBand="0" w:evenVBand="0" w:oddHBand="1" w:evenHBand="0" w:firstRowFirstColumn="0" w:firstRowLastColumn="0" w:lastRowFirstColumn="0" w:lastRowLastColumn="0"/>
              <w:rPr>
                <w:lang w:val="en-GB"/>
              </w:rPr>
            </w:pPr>
            <w:r>
              <w:rPr>
                <w:lang w:val="en-GB"/>
              </w:rPr>
              <w:t>CW1</w:t>
            </w:r>
          </w:p>
        </w:tc>
        <w:tc>
          <w:tcPr>
            <w:tcW w:w="1260" w:type="dxa"/>
          </w:tcPr>
          <w:p w14:paraId="5157373D" w14:textId="5F584091" w:rsidR="00302AE9" w:rsidRDefault="00302AE9" w:rsidP="00302AE9">
            <w:pPr>
              <w:spacing w:after="0"/>
              <w:cnfStyle w:val="000000100000" w:firstRow="0" w:lastRow="0" w:firstColumn="0" w:lastColumn="0" w:oddVBand="0" w:evenVBand="0" w:oddHBand="1" w:evenHBand="0" w:firstRowFirstColumn="0" w:firstRowLastColumn="0" w:lastRowFirstColumn="0" w:lastRowLastColumn="0"/>
              <w:rPr>
                <w:lang w:val="en-GB"/>
              </w:rPr>
            </w:pPr>
            <w:r>
              <w:rPr>
                <w:lang w:val="en-GB"/>
              </w:rPr>
              <w:t>CW2</w:t>
            </w:r>
          </w:p>
        </w:tc>
      </w:tr>
      <w:tr w:rsidR="00302AE9" w14:paraId="0180634F" w14:textId="77777777" w:rsidTr="00302AE9">
        <w:trPr>
          <w:trHeight w:val="20"/>
          <w:jc w:val="center"/>
        </w:trPr>
        <w:tc>
          <w:tcPr>
            <w:cnfStyle w:val="001000000000" w:firstRow="0" w:lastRow="0" w:firstColumn="1" w:lastColumn="0" w:oddVBand="0" w:evenVBand="0" w:oddHBand="0" w:evenHBand="0" w:firstRowFirstColumn="0" w:firstRowLastColumn="0" w:lastRowFirstColumn="0" w:lastRowLastColumn="0"/>
            <w:tcW w:w="1345" w:type="dxa"/>
          </w:tcPr>
          <w:p w14:paraId="4DF5E782" w14:textId="02B34CAD" w:rsidR="00302AE9" w:rsidRDefault="00302AE9" w:rsidP="00302AE9">
            <w:pPr>
              <w:spacing w:after="0"/>
              <w:rPr>
                <w:lang w:val="en-GB"/>
              </w:rPr>
            </w:pPr>
            <w:r>
              <w:rPr>
                <w:lang w:val="en-GB"/>
              </w:rPr>
              <w:t>2</w:t>
            </w:r>
          </w:p>
        </w:tc>
        <w:tc>
          <w:tcPr>
            <w:tcW w:w="1170" w:type="dxa"/>
          </w:tcPr>
          <w:p w14:paraId="6DBF4BC0" w14:textId="54F0A2F4" w:rsidR="00302AE9" w:rsidRDefault="00BC6568" w:rsidP="00302AE9">
            <w:pPr>
              <w:spacing w:after="0"/>
              <w:cnfStyle w:val="000000000000" w:firstRow="0" w:lastRow="0" w:firstColumn="0" w:lastColumn="0" w:oddVBand="0" w:evenVBand="0" w:oddHBand="0" w:evenHBand="0" w:firstRowFirstColumn="0" w:firstRowLastColumn="0" w:lastRowFirstColumn="0" w:lastRowLastColumn="0"/>
              <w:rPr>
                <w:lang w:val="en-GB"/>
              </w:rPr>
            </w:pPr>
            <w:r>
              <w:rPr>
                <w:lang w:val="en-GB"/>
              </w:rPr>
              <w:t>7</w:t>
            </w:r>
          </w:p>
        </w:tc>
        <w:tc>
          <w:tcPr>
            <w:tcW w:w="1260" w:type="dxa"/>
          </w:tcPr>
          <w:p w14:paraId="5ECA09AC" w14:textId="737B4436" w:rsidR="00302AE9" w:rsidRDefault="00BC6568" w:rsidP="00302AE9">
            <w:pPr>
              <w:spacing w:after="0"/>
              <w:cnfStyle w:val="000000000000" w:firstRow="0" w:lastRow="0" w:firstColumn="0" w:lastColumn="0" w:oddVBand="0" w:evenVBand="0" w:oddHBand="0" w:evenHBand="0" w:firstRowFirstColumn="0" w:firstRowLastColumn="0" w:lastRowFirstColumn="0" w:lastRowLastColumn="0"/>
              <w:rPr>
                <w:lang w:val="en-GB"/>
              </w:rPr>
            </w:pPr>
            <w:r>
              <w:rPr>
                <w:lang w:val="en-GB"/>
              </w:rPr>
              <w:t>8</w:t>
            </w:r>
          </w:p>
        </w:tc>
      </w:tr>
      <w:tr w:rsidR="00302AE9" w14:paraId="5D243928" w14:textId="77777777" w:rsidTr="00302AE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345" w:type="dxa"/>
          </w:tcPr>
          <w:p w14:paraId="356E84EC" w14:textId="699C35F8" w:rsidR="00302AE9" w:rsidRDefault="00302AE9" w:rsidP="00302AE9">
            <w:pPr>
              <w:spacing w:after="0"/>
              <w:rPr>
                <w:lang w:val="en-GB"/>
              </w:rPr>
            </w:pPr>
            <w:r>
              <w:rPr>
                <w:lang w:val="en-GB"/>
              </w:rPr>
              <w:t>3</w:t>
            </w:r>
          </w:p>
        </w:tc>
        <w:tc>
          <w:tcPr>
            <w:tcW w:w="1170" w:type="dxa"/>
          </w:tcPr>
          <w:p w14:paraId="6BEE268D" w14:textId="494DA73F" w:rsidR="00302AE9" w:rsidRDefault="00BC6568" w:rsidP="00302AE9">
            <w:pPr>
              <w:spacing w:after="0"/>
              <w:cnfStyle w:val="000000100000" w:firstRow="0" w:lastRow="0" w:firstColumn="0" w:lastColumn="0" w:oddVBand="0" w:evenVBand="0" w:oddHBand="1" w:evenHBand="0" w:firstRowFirstColumn="0" w:firstRowLastColumn="0" w:lastRowFirstColumn="0" w:lastRowLastColumn="0"/>
              <w:rPr>
                <w:lang w:val="en-GB"/>
              </w:rPr>
            </w:pPr>
            <w:r>
              <w:rPr>
                <w:lang w:val="en-GB"/>
              </w:rPr>
              <w:t>7</w:t>
            </w:r>
          </w:p>
        </w:tc>
        <w:tc>
          <w:tcPr>
            <w:tcW w:w="1260" w:type="dxa"/>
          </w:tcPr>
          <w:p w14:paraId="2A49EC34" w14:textId="1C0027E4" w:rsidR="00302AE9" w:rsidRDefault="00BC6568" w:rsidP="00302AE9">
            <w:pPr>
              <w:spacing w:after="0"/>
              <w:cnfStyle w:val="000000100000" w:firstRow="0" w:lastRow="0" w:firstColumn="0" w:lastColumn="0" w:oddVBand="0" w:evenVBand="0" w:oddHBand="1" w:evenHBand="0" w:firstRowFirstColumn="0" w:firstRowLastColumn="0" w:lastRowFirstColumn="0" w:lastRowLastColumn="0"/>
              <w:rPr>
                <w:lang w:val="en-GB"/>
              </w:rPr>
            </w:pPr>
            <w:r>
              <w:rPr>
                <w:lang w:val="en-GB"/>
              </w:rPr>
              <w:t>9,10</w:t>
            </w:r>
          </w:p>
        </w:tc>
      </w:tr>
      <w:tr w:rsidR="00302AE9" w14:paraId="40031764" w14:textId="77777777" w:rsidTr="00302AE9">
        <w:trPr>
          <w:trHeight w:val="20"/>
          <w:jc w:val="center"/>
        </w:trPr>
        <w:tc>
          <w:tcPr>
            <w:cnfStyle w:val="001000000000" w:firstRow="0" w:lastRow="0" w:firstColumn="1" w:lastColumn="0" w:oddVBand="0" w:evenVBand="0" w:oddHBand="0" w:evenHBand="0" w:firstRowFirstColumn="0" w:firstRowLastColumn="0" w:lastRowFirstColumn="0" w:lastRowLastColumn="0"/>
            <w:tcW w:w="1345" w:type="dxa"/>
          </w:tcPr>
          <w:p w14:paraId="51B19829" w14:textId="22E4E966" w:rsidR="00302AE9" w:rsidRDefault="00302AE9" w:rsidP="00302AE9">
            <w:pPr>
              <w:spacing w:after="0"/>
              <w:rPr>
                <w:lang w:val="en-GB"/>
              </w:rPr>
            </w:pPr>
            <w:r>
              <w:rPr>
                <w:lang w:val="en-GB"/>
              </w:rPr>
              <w:t>4</w:t>
            </w:r>
          </w:p>
        </w:tc>
        <w:tc>
          <w:tcPr>
            <w:tcW w:w="1170" w:type="dxa"/>
          </w:tcPr>
          <w:p w14:paraId="25273490" w14:textId="68B59BB8" w:rsidR="00302AE9" w:rsidRDefault="00BC6568" w:rsidP="00302AE9">
            <w:pPr>
              <w:spacing w:after="0"/>
              <w:cnfStyle w:val="000000000000" w:firstRow="0" w:lastRow="0" w:firstColumn="0" w:lastColumn="0" w:oddVBand="0" w:evenVBand="0" w:oddHBand="0" w:evenHBand="0" w:firstRowFirstColumn="0" w:firstRowLastColumn="0" w:lastRowFirstColumn="0" w:lastRowLastColumn="0"/>
              <w:rPr>
                <w:lang w:val="en-GB"/>
              </w:rPr>
            </w:pPr>
            <w:r>
              <w:rPr>
                <w:lang w:val="en-GB"/>
              </w:rPr>
              <w:t>7,8</w:t>
            </w:r>
          </w:p>
        </w:tc>
        <w:tc>
          <w:tcPr>
            <w:tcW w:w="1260" w:type="dxa"/>
          </w:tcPr>
          <w:p w14:paraId="6C183FB8" w14:textId="7F787683" w:rsidR="00302AE9" w:rsidRDefault="00BC6568" w:rsidP="00302AE9">
            <w:pPr>
              <w:spacing w:after="0"/>
              <w:cnfStyle w:val="000000000000" w:firstRow="0" w:lastRow="0" w:firstColumn="0" w:lastColumn="0" w:oddVBand="0" w:evenVBand="0" w:oddHBand="0" w:evenHBand="0" w:firstRowFirstColumn="0" w:firstRowLastColumn="0" w:lastRowFirstColumn="0" w:lastRowLastColumn="0"/>
              <w:rPr>
                <w:lang w:val="en-GB"/>
              </w:rPr>
            </w:pPr>
            <w:r>
              <w:rPr>
                <w:lang w:val="en-GB"/>
              </w:rPr>
              <w:t>9,10</w:t>
            </w:r>
          </w:p>
        </w:tc>
      </w:tr>
      <w:tr w:rsidR="00302AE9" w14:paraId="71599FE3" w14:textId="77777777" w:rsidTr="00302AE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345" w:type="dxa"/>
          </w:tcPr>
          <w:p w14:paraId="51A53C8E" w14:textId="4899E1BE" w:rsidR="00302AE9" w:rsidRDefault="00302AE9" w:rsidP="00302AE9">
            <w:pPr>
              <w:spacing w:after="0"/>
              <w:rPr>
                <w:lang w:val="en-GB"/>
              </w:rPr>
            </w:pPr>
            <w:r>
              <w:rPr>
                <w:lang w:val="en-GB"/>
              </w:rPr>
              <w:t>5</w:t>
            </w:r>
          </w:p>
        </w:tc>
        <w:tc>
          <w:tcPr>
            <w:tcW w:w="1170" w:type="dxa"/>
          </w:tcPr>
          <w:p w14:paraId="4B10FCA3" w14:textId="6D30A675" w:rsidR="00302AE9" w:rsidRDefault="00BC6568" w:rsidP="00302AE9">
            <w:pPr>
              <w:spacing w:after="0"/>
              <w:cnfStyle w:val="000000100000" w:firstRow="0" w:lastRow="0" w:firstColumn="0" w:lastColumn="0" w:oddVBand="0" w:evenVBand="0" w:oddHBand="1" w:evenHBand="0" w:firstRowFirstColumn="0" w:firstRowLastColumn="0" w:lastRowFirstColumn="0" w:lastRowLastColumn="0"/>
              <w:rPr>
                <w:lang w:val="en-GB"/>
              </w:rPr>
            </w:pPr>
            <w:r>
              <w:rPr>
                <w:lang w:val="en-GB"/>
              </w:rPr>
              <w:t>7,8</w:t>
            </w:r>
          </w:p>
        </w:tc>
        <w:tc>
          <w:tcPr>
            <w:tcW w:w="1260" w:type="dxa"/>
          </w:tcPr>
          <w:p w14:paraId="65B8C604" w14:textId="49F5C0C7" w:rsidR="00302AE9" w:rsidRDefault="00BC6568" w:rsidP="00302AE9">
            <w:pPr>
              <w:spacing w:after="0"/>
              <w:cnfStyle w:val="000000100000" w:firstRow="0" w:lastRow="0" w:firstColumn="0" w:lastColumn="0" w:oddVBand="0" w:evenVBand="0" w:oddHBand="1" w:evenHBand="0" w:firstRowFirstColumn="0" w:firstRowLastColumn="0" w:lastRowFirstColumn="0" w:lastRowLastColumn="0"/>
              <w:rPr>
                <w:lang w:val="en-GB"/>
              </w:rPr>
            </w:pPr>
            <w:r>
              <w:rPr>
                <w:lang w:val="en-GB"/>
              </w:rPr>
              <w:t>9,10,12</w:t>
            </w:r>
          </w:p>
        </w:tc>
      </w:tr>
      <w:tr w:rsidR="00302AE9" w14:paraId="05806E96" w14:textId="77777777" w:rsidTr="00302AE9">
        <w:trPr>
          <w:trHeight w:val="20"/>
          <w:jc w:val="center"/>
        </w:trPr>
        <w:tc>
          <w:tcPr>
            <w:cnfStyle w:val="001000000000" w:firstRow="0" w:lastRow="0" w:firstColumn="1" w:lastColumn="0" w:oddVBand="0" w:evenVBand="0" w:oddHBand="0" w:evenHBand="0" w:firstRowFirstColumn="0" w:firstRowLastColumn="0" w:lastRowFirstColumn="0" w:lastRowLastColumn="0"/>
            <w:tcW w:w="1345" w:type="dxa"/>
          </w:tcPr>
          <w:p w14:paraId="1657C7AC" w14:textId="37BAEB64" w:rsidR="00302AE9" w:rsidRDefault="00302AE9" w:rsidP="00302AE9">
            <w:pPr>
              <w:spacing w:after="0"/>
              <w:rPr>
                <w:lang w:val="en-GB"/>
              </w:rPr>
            </w:pPr>
            <w:r>
              <w:rPr>
                <w:lang w:val="en-GB"/>
              </w:rPr>
              <w:t>6</w:t>
            </w:r>
          </w:p>
        </w:tc>
        <w:tc>
          <w:tcPr>
            <w:tcW w:w="1170" w:type="dxa"/>
          </w:tcPr>
          <w:p w14:paraId="4093BCDE" w14:textId="02ED3961" w:rsidR="00302AE9" w:rsidRDefault="00BC6568" w:rsidP="00302AE9">
            <w:pPr>
              <w:spacing w:after="0"/>
              <w:cnfStyle w:val="000000000000" w:firstRow="0" w:lastRow="0" w:firstColumn="0" w:lastColumn="0" w:oddVBand="0" w:evenVBand="0" w:oddHBand="0" w:evenHBand="0" w:firstRowFirstColumn="0" w:firstRowLastColumn="0" w:lastRowFirstColumn="0" w:lastRowLastColumn="0"/>
              <w:rPr>
                <w:lang w:val="en-GB"/>
              </w:rPr>
            </w:pPr>
            <w:r>
              <w:rPr>
                <w:lang w:val="en-GB"/>
              </w:rPr>
              <w:t>7,8,11</w:t>
            </w:r>
          </w:p>
        </w:tc>
        <w:tc>
          <w:tcPr>
            <w:tcW w:w="1260" w:type="dxa"/>
          </w:tcPr>
          <w:p w14:paraId="7EC17101" w14:textId="3F7A841B" w:rsidR="00302AE9" w:rsidRDefault="00BC6568" w:rsidP="00302AE9">
            <w:pPr>
              <w:spacing w:after="0"/>
              <w:cnfStyle w:val="000000000000" w:firstRow="0" w:lastRow="0" w:firstColumn="0" w:lastColumn="0" w:oddVBand="0" w:evenVBand="0" w:oddHBand="0" w:evenHBand="0" w:firstRowFirstColumn="0" w:firstRowLastColumn="0" w:lastRowFirstColumn="0" w:lastRowLastColumn="0"/>
              <w:rPr>
                <w:lang w:val="en-GB"/>
              </w:rPr>
            </w:pPr>
            <w:r>
              <w:rPr>
                <w:lang w:val="en-GB"/>
              </w:rPr>
              <w:t>9,10,12</w:t>
            </w:r>
          </w:p>
        </w:tc>
      </w:tr>
      <w:tr w:rsidR="00302AE9" w14:paraId="7DE483F3" w14:textId="77777777" w:rsidTr="00302AE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345" w:type="dxa"/>
          </w:tcPr>
          <w:p w14:paraId="2B1F198E" w14:textId="689B08C1" w:rsidR="00302AE9" w:rsidRDefault="00302AE9" w:rsidP="00302AE9">
            <w:pPr>
              <w:spacing w:after="0"/>
              <w:rPr>
                <w:lang w:val="en-GB"/>
              </w:rPr>
            </w:pPr>
            <w:r>
              <w:rPr>
                <w:lang w:val="en-GB"/>
              </w:rPr>
              <w:t>7</w:t>
            </w:r>
          </w:p>
        </w:tc>
        <w:tc>
          <w:tcPr>
            <w:tcW w:w="1170" w:type="dxa"/>
          </w:tcPr>
          <w:p w14:paraId="632424BD" w14:textId="62421D3F" w:rsidR="00302AE9" w:rsidRDefault="00BC6568" w:rsidP="00302AE9">
            <w:pPr>
              <w:spacing w:after="0"/>
              <w:cnfStyle w:val="000000100000" w:firstRow="0" w:lastRow="0" w:firstColumn="0" w:lastColumn="0" w:oddVBand="0" w:evenVBand="0" w:oddHBand="1" w:evenHBand="0" w:firstRowFirstColumn="0" w:firstRowLastColumn="0" w:lastRowFirstColumn="0" w:lastRowLastColumn="0"/>
              <w:rPr>
                <w:lang w:val="en-GB"/>
              </w:rPr>
            </w:pPr>
            <w:r>
              <w:rPr>
                <w:lang w:val="en-GB"/>
              </w:rPr>
              <w:t>7,8,11</w:t>
            </w:r>
          </w:p>
        </w:tc>
        <w:tc>
          <w:tcPr>
            <w:tcW w:w="1260" w:type="dxa"/>
          </w:tcPr>
          <w:p w14:paraId="7CA263C9" w14:textId="37E568F5" w:rsidR="00302AE9" w:rsidRDefault="00BC6568" w:rsidP="00302AE9">
            <w:pPr>
              <w:spacing w:after="0"/>
              <w:cnfStyle w:val="000000100000" w:firstRow="0" w:lastRow="0" w:firstColumn="0" w:lastColumn="0" w:oddVBand="0" w:evenVBand="0" w:oddHBand="1" w:evenHBand="0" w:firstRowFirstColumn="0" w:firstRowLastColumn="0" w:lastRowFirstColumn="0" w:lastRowLastColumn="0"/>
              <w:rPr>
                <w:lang w:val="en-GB"/>
              </w:rPr>
            </w:pPr>
            <w:r>
              <w:rPr>
                <w:lang w:val="en-GB"/>
              </w:rPr>
              <w:t>9,10,12,14</w:t>
            </w:r>
          </w:p>
        </w:tc>
      </w:tr>
      <w:tr w:rsidR="00302AE9" w14:paraId="61C6E629" w14:textId="77777777" w:rsidTr="00302AE9">
        <w:trPr>
          <w:trHeight w:val="20"/>
          <w:jc w:val="center"/>
        </w:trPr>
        <w:tc>
          <w:tcPr>
            <w:cnfStyle w:val="001000000000" w:firstRow="0" w:lastRow="0" w:firstColumn="1" w:lastColumn="0" w:oddVBand="0" w:evenVBand="0" w:oddHBand="0" w:evenHBand="0" w:firstRowFirstColumn="0" w:firstRowLastColumn="0" w:lastRowFirstColumn="0" w:lastRowLastColumn="0"/>
            <w:tcW w:w="1345" w:type="dxa"/>
          </w:tcPr>
          <w:p w14:paraId="5A9A3791" w14:textId="3B84DB43" w:rsidR="00302AE9" w:rsidRDefault="00302AE9" w:rsidP="00302AE9">
            <w:pPr>
              <w:spacing w:after="0"/>
              <w:rPr>
                <w:lang w:val="en-GB"/>
              </w:rPr>
            </w:pPr>
            <w:r>
              <w:rPr>
                <w:lang w:val="en-GB"/>
              </w:rPr>
              <w:t>8</w:t>
            </w:r>
          </w:p>
        </w:tc>
        <w:tc>
          <w:tcPr>
            <w:tcW w:w="1170" w:type="dxa"/>
          </w:tcPr>
          <w:p w14:paraId="69529CC6" w14:textId="527DC33F" w:rsidR="00302AE9" w:rsidRDefault="00BC6568" w:rsidP="00302AE9">
            <w:pPr>
              <w:spacing w:after="0"/>
              <w:cnfStyle w:val="000000000000" w:firstRow="0" w:lastRow="0" w:firstColumn="0" w:lastColumn="0" w:oddVBand="0" w:evenVBand="0" w:oddHBand="0" w:evenHBand="0" w:firstRowFirstColumn="0" w:firstRowLastColumn="0" w:lastRowFirstColumn="0" w:lastRowLastColumn="0"/>
              <w:rPr>
                <w:lang w:val="en-GB"/>
              </w:rPr>
            </w:pPr>
            <w:r>
              <w:rPr>
                <w:lang w:val="en-GB"/>
              </w:rPr>
              <w:t>7,8,11,13</w:t>
            </w:r>
          </w:p>
        </w:tc>
        <w:tc>
          <w:tcPr>
            <w:tcW w:w="1260" w:type="dxa"/>
          </w:tcPr>
          <w:p w14:paraId="215555BD" w14:textId="15655A51" w:rsidR="00302AE9" w:rsidRDefault="00BC6568" w:rsidP="00302AE9">
            <w:pPr>
              <w:spacing w:after="0"/>
              <w:cnfStyle w:val="000000000000" w:firstRow="0" w:lastRow="0" w:firstColumn="0" w:lastColumn="0" w:oddVBand="0" w:evenVBand="0" w:oddHBand="0" w:evenHBand="0" w:firstRowFirstColumn="0" w:firstRowLastColumn="0" w:lastRowFirstColumn="0" w:lastRowLastColumn="0"/>
              <w:rPr>
                <w:lang w:val="en-GB"/>
              </w:rPr>
            </w:pPr>
            <w:r>
              <w:rPr>
                <w:lang w:val="en-GB"/>
              </w:rPr>
              <w:t>9,10,12,14</w:t>
            </w:r>
          </w:p>
        </w:tc>
      </w:tr>
    </w:tbl>
    <w:p w14:paraId="3C77C3F8" w14:textId="0C4A512C" w:rsidR="00BC6568" w:rsidRDefault="00BC6568" w:rsidP="00BC6568">
      <w:pPr>
        <w:rPr>
          <w:lang w:val="en-GB"/>
        </w:rPr>
      </w:pPr>
      <w:r>
        <w:rPr>
          <w:lang w:val="en-GB"/>
        </w:rPr>
        <w:t xml:space="preserve">In this proposal, rank 2 is a special case where we still have DMRS ports from different DMRS groups on the same set of REs. We understand the intention of the proposal is to reduce the DMRS overhead, but such </w:t>
      </w:r>
      <w:r w:rsidR="00BF3091">
        <w:rPr>
          <w:lang w:val="en-GB"/>
        </w:rPr>
        <w:t xml:space="preserve">design complicates receiver </w:t>
      </w:r>
      <w:r w:rsidR="00C60A68">
        <w:rPr>
          <w:lang w:val="en-GB"/>
        </w:rPr>
        <w:t xml:space="preserve">channel estimation </w:t>
      </w:r>
      <w:r w:rsidR="00BF3091">
        <w:rPr>
          <w:lang w:val="en-GB"/>
        </w:rPr>
        <w:t>implementation</w:t>
      </w:r>
      <w:r w:rsidR="00C60A68">
        <w:rPr>
          <w:lang w:val="en-GB"/>
        </w:rPr>
        <w:t>,</w:t>
      </w:r>
      <w:r w:rsidR="00BF3091">
        <w:rPr>
          <w:lang w:val="en-GB"/>
        </w:rPr>
        <w:t xml:space="preserve"> and for rank 2 case, some performance degradation may be expected. </w:t>
      </w:r>
      <w:r w:rsidR="00BF3091">
        <w:rPr>
          <w:lang w:val="en-GB"/>
        </w:rPr>
        <w:lastRenderedPageBreak/>
        <w:t xml:space="preserve">Instead, we can always enforce FDM of DMRS ports from different groups, as shown in </w:t>
      </w:r>
      <w:r w:rsidR="00BF3091">
        <w:rPr>
          <w:lang w:val="en-GB"/>
        </w:rPr>
        <w:fldChar w:fldCharType="begin"/>
      </w:r>
      <w:r w:rsidR="00BF3091">
        <w:rPr>
          <w:lang w:val="en-GB"/>
        </w:rPr>
        <w:instrText xml:space="preserve"> REF _Ref490057904 \h </w:instrText>
      </w:r>
      <w:r w:rsidR="00BF3091">
        <w:rPr>
          <w:lang w:val="en-GB"/>
        </w:rPr>
      </w:r>
      <w:r w:rsidR="00BF3091">
        <w:rPr>
          <w:lang w:val="en-GB"/>
        </w:rPr>
        <w:fldChar w:fldCharType="separate"/>
      </w:r>
      <w:r w:rsidR="00D920AB">
        <w:t xml:space="preserve">Table </w:t>
      </w:r>
      <w:r w:rsidR="00D920AB">
        <w:rPr>
          <w:noProof/>
        </w:rPr>
        <w:t>2</w:t>
      </w:r>
      <w:r w:rsidR="00BF3091">
        <w:rPr>
          <w:lang w:val="en-GB"/>
        </w:rPr>
        <w:fldChar w:fldCharType="end"/>
      </w:r>
      <w:r w:rsidR="00CC1C32">
        <w:rPr>
          <w:lang w:val="en-GB"/>
        </w:rPr>
        <w:t>, at the cost of higher DMRS overhead.</w:t>
      </w:r>
    </w:p>
    <w:p w14:paraId="5AA8983E" w14:textId="30E1DB2E" w:rsidR="00BF3091" w:rsidRDefault="00BF3091" w:rsidP="00BF3091">
      <w:pPr>
        <w:pStyle w:val="Caption"/>
      </w:pPr>
      <w:bookmarkStart w:id="4" w:name="_Ref490057904"/>
      <w:r>
        <w:t xml:space="preserve">Table </w:t>
      </w:r>
      <w:r>
        <w:fldChar w:fldCharType="begin"/>
      </w:r>
      <w:r>
        <w:instrText xml:space="preserve"> SEQ Table \* ARABIC </w:instrText>
      </w:r>
      <w:r>
        <w:fldChar w:fldCharType="separate"/>
      </w:r>
      <w:r w:rsidR="00D920AB">
        <w:rPr>
          <w:noProof/>
        </w:rPr>
        <w:t>2</w:t>
      </w:r>
      <w:r>
        <w:fldChar w:fldCharType="end"/>
      </w:r>
      <w:bookmarkEnd w:id="4"/>
      <w:r>
        <w:t xml:space="preserve">. DMRS port to layer mapping with </w:t>
      </w:r>
      <w:r>
        <w:t>full</w:t>
      </w:r>
      <w:r>
        <w:t xml:space="preserve"> FDM DMRS port groups</w:t>
      </w:r>
    </w:p>
    <w:tbl>
      <w:tblPr>
        <w:tblStyle w:val="GridTable4-Accent5"/>
        <w:tblW w:w="0" w:type="auto"/>
        <w:jc w:val="center"/>
        <w:tblCellMar>
          <w:left w:w="115" w:type="dxa"/>
          <w:right w:w="115" w:type="dxa"/>
        </w:tblCellMar>
        <w:tblLook w:val="04A0" w:firstRow="1" w:lastRow="0" w:firstColumn="1" w:lastColumn="0" w:noHBand="0" w:noVBand="1"/>
      </w:tblPr>
      <w:tblGrid>
        <w:gridCol w:w="1345"/>
        <w:gridCol w:w="1170"/>
        <w:gridCol w:w="1260"/>
      </w:tblGrid>
      <w:tr w:rsidR="00BF3091" w14:paraId="6BBC7F74" w14:textId="77777777" w:rsidTr="003329E3">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345" w:type="dxa"/>
            <w:vMerge w:val="restart"/>
          </w:tcPr>
          <w:p w14:paraId="10E578C3" w14:textId="77777777" w:rsidR="00BF3091" w:rsidRDefault="00BF3091" w:rsidP="003329E3">
            <w:pPr>
              <w:spacing w:after="0"/>
              <w:rPr>
                <w:lang w:val="en-GB"/>
              </w:rPr>
            </w:pPr>
            <w:r>
              <w:rPr>
                <w:lang w:val="en-GB"/>
              </w:rPr>
              <w:t>Rank</w:t>
            </w:r>
          </w:p>
        </w:tc>
        <w:tc>
          <w:tcPr>
            <w:tcW w:w="2430" w:type="dxa"/>
            <w:gridSpan w:val="2"/>
          </w:tcPr>
          <w:p w14:paraId="4E569C71" w14:textId="77777777" w:rsidR="00BF3091" w:rsidRDefault="00BF3091" w:rsidP="003329E3">
            <w:pPr>
              <w:spacing w:after="0"/>
              <w:cnfStyle w:val="100000000000" w:firstRow="1" w:lastRow="0" w:firstColumn="0" w:lastColumn="0" w:oddVBand="0" w:evenVBand="0" w:oddHBand="0" w:evenHBand="0" w:firstRowFirstColumn="0" w:firstRowLastColumn="0" w:lastRowFirstColumn="0" w:lastRowLastColumn="0"/>
              <w:rPr>
                <w:lang w:val="en-GB"/>
              </w:rPr>
            </w:pPr>
            <w:r>
              <w:rPr>
                <w:lang w:val="en-GB"/>
              </w:rPr>
              <w:t>DMRS to layer mapping</w:t>
            </w:r>
          </w:p>
        </w:tc>
      </w:tr>
      <w:tr w:rsidR="00BF3091" w14:paraId="6B9481E8" w14:textId="77777777" w:rsidTr="003329E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345" w:type="dxa"/>
            <w:vMerge/>
          </w:tcPr>
          <w:p w14:paraId="39726E44" w14:textId="77777777" w:rsidR="00BF3091" w:rsidRDefault="00BF3091" w:rsidP="003329E3">
            <w:pPr>
              <w:spacing w:after="0"/>
              <w:rPr>
                <w:lang w:val="en-GB"/>
              </w:rPr>
            </w:pPr>
          </w:p>
        </w:tc>
        <w:tc>
          <w:tcPr>
            <w:tcW w:w="1170" w:type="dxa"/>
          </w:tcPr>
          <w:p w14:paraId="75FCFA8B" w14:textId="77777777" w:rsidR="00BF3091" w:rsidRDefault="00BF3091" w:rsidP="003329E3">
            <w:pPr>
              <w:spacing w:after="0"/>
              <w:cnfStyle w:val="000000100000" w:firstRow="0" w:lastRow="0" w:firstColumn="0" w:lastColumn="0" w:oddVBand="0" w:evenVBand="0" w:oddHBand="1" w:evenHBand="0" w:firstRowFirstColumn="0" w:firstRowLastColumn="0" w:lastRowFirstColumn="0" w:lastRowLastColumn="0"/>
              <w:rPr>
                <w:lang w:val="en-GB"/>
              </w:rPr>
            </w:pPr>
            <w:r>
              <w:rPr>
                <w:lang w:val="en-GB"/>
              </w:rPr>
              <w:t>CW1</w:t>
            </w:r>
          </w:p>
        </w:tc>
        <w:tc>
          <w:tcPr>
            <w:tcW w:w="1260" w:type="dxa"/>
          </w:tcPr>
          <w:p w14:paraId="0524B085" w14:textId="77777777" w:rsidR="00BF3091" w:rsidRDefault="00BF3091" w:rsidP="003329E3">
            <w:pPr>
              <w:spacing w:after="0"/>
              <w:cnfStyle w:val="000000100000" w:firstRow="0" w:lastRow="0" w:firstColumn="0" w:lastColumn="0" w:oddVBand="0" w:evenVBand="0" w:oddHBand="1" w:evenHBand="0" w:firstRowFirstColumn="0" w:firstRowLastColumn="0" w:lastRowFirstColumn="0" w:lastRowLastColumn="0"/>
              <w:rPr>
                <w:lang w:val="en-GB"/>
              </w:rPr>
            </w:pPr>
            <w:r>
              <w:rPr>
                <w:lang w:val="en-GB"/>
              </w:rPr>
              <w:t>CW2</w:t>
            </w:r>
          </w:p>
        </w:tc>
      </w:tr>
      <w:tr w:rsidR="00BF3091" w14:paraId="41827BFC" w14:textId="77777777" w:rsidTr="003329E3">
        <w:trPr>
          <w:trHeight w:val="20"/>
          <w:jc w:val="center"/>
        </w:trPr>
        <w:tc>
          <w:tcPr>
            <w:cnfStyle w:val="001000000000" w:firstRow="0" w:lastRow="0" w:firstColumn="1" w:lastColumn="0" w:oddVBand="0" w:evenVBand="0" w:oddHBand="0" w:evenHBand="0" w:firstRowFirstColumn="0" w:firstRowLastColumn="0" w:lastRowFirstColumn="0" w:lastRowLastColumn="0"/>
            <w:tcW w:w="1345" w:type="dxa"/>
          </w:tcPr>
          <w:p w14:paraId="3B4885D6" w14:textId="77777777" w:rsidR="00BF3091" w:rsidRDefault="00BF3091" w:rsidP="003329E3">
            <w:pPr>
              <w:spacing w:after="0"/>
              <w:rPr>
                <w:lang w:val="en-GB"/>
              </w:rPr>
            </w:pPr>
            <w:r>
              <w:rPr>
                <w:lang w:val="en-GB"/>
              </w:rPr>
              <w:t>2</w:t>
            </w:r>
          </w:p>
        </w:tc>
        <w:tc>
          <w:tcPr>
            <w:tcW w:w="1170" w:type="dxa"/>
          </w:tcPr>
          <w:p w14:paraId="68433396" w14:textId="77777777" w:rsidR="00BF3091" w:rsidRDefault="00BF3091" w:rsidP="003329E3">
            <w:pPr>
              <w:spacing w:after="0"/>
              <w:cnfStyle w:val="000000000000" w:firstRow="0" w:lastRow="0" w:firstColumn="0" w:lastColumn="0" w:oddVBand="0" w:evenVBand="0" w:oddHBand="0" w:evenHBand="0" w:firstRowFirstColumn="0" w:firstRowLastColumn="0" w:lastRowFirstColumn="0" w:lastRowLastColumn="0"/>
              <w:rPr>
                <w:lang w:val="en-GB"/>
              </w:rPr>
            </w:pPr>
            <w:r>
              <w:rPr>
                <w:lang w:val="en-GB"/>
              </w:rPr>
              <w:t>7</w:t>
            </w:r>
          </w:p>
        </w:tc>
        <w:tc>
          <w:tcPr>
            <w:tcW w:w="1260" w:type="dxa"/>
          </w:tcPr>
          <w:p w14:paraId="751F0151" w14:textId="24C3AC5F" w:rsidR="00BF3091" w:rsidRDefault="00BF3091" w:rsidP="003329E3">
            <w:pPr>
              <w:spacing w:after="0"/>
              <w:cnfStyle w:val="000000000000" w:firstRow="0" w:lastRow="0" w:firstColumn="0" w:lastColumn="0" w:oddVBand="0" w:evenVBand="0" w:oddHBand="0" w:evenHBand="0" w:firstRowFirstColumn="0" w:firstRowLastColumn="0" w:lastRowFirstColumn="0" w:lastRowLastColumn="0"/>
              <w:rPr>
                <w:lang w:val="en-GB"/>
              </w:rPr>
            </w:pPr>
            <w:r w:rsidRPr="00BF3091">
              <w:rPr>
                <w:color w:val="FF0000"/>
                <w:lang w:val="en-GB"/>
              </w:rPr>
              <w:t>9</w:t>
            </w:r>
          </w:p>
        </w:tc>
      </w:tr>
      <w:tr w:rsidR="00BF3091" w14:paraId="02984078" w14:textId="77777777" w:rsidTr="003329E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345" w:type="dxa"/>
          </w:tcPr>
          <w:p w14:paraId="45DB3A41" w14:textId="77777777" w:rsidR="00BF3091" w:rsidRDefault="00BF3091" w:rsidP="003329E3">
            <w:pPr>
              <w:spacing w:after="0"/>
              <w:rPr>
                <w:lang w:val="en-GB"/>
              </w:rPr>
            </w:pPr>
            <w:r>
              <w:rPr>
                <w:lang w:val="en-GB"/>
              </w:rPr>
              <w:t>3</w:t>
            </w:r>
          </w:p>
        </w:tc>
        <w:tc>
          <w:tcPr>
            <w:tcW w:w="1170" w:type="dxa"/>
          </w:tcPr>
          <w:p w14:paraId="0656A2F0" w14:textId="77777777" w:rsidR="00BF3091" w:rsidRDefault="00BF3091" w:rsidP="003329E3">
            <w:pPr>
              <w:spacing w:after="0"/>
              <w:cnfStyle w:val="000000100000" w:firstRow="0" w:lastRow="0" w:firstColumn="0" w:lastColumn="0" w:oddVBand="0" w:evenVBand="0" w:oddHBand="1" w:evenHBand="0" w:firstRowFirstColumn="0" w:firstRowLastColumn="0" w:lastRowFirstColumn="0" w:lastRowLastColumn="0"/>
              <w:rPr>
                <w:lang w:val="en-GB"/>
              </w:rPr>
            </w:pPr>
            <w:r>
              <w:rPr>
                <w:lang w:val="en-GB"/>
              </w:rPr>
              <w:t>7</w:t>
            </w:r>
          </w:p>
        </w:tc>
        <w:tc>
          <w:tcPr>
            <w:tcW w:w="1260" w:type="dxa"/>
          </w:tcPr>
          <w:p w14:paraId="44B58410" w14:textId="77777777" w:rsidR="00BF3091" w:rsidRDefault="00BF3091" w:rsidP="003329E3">
            <w:pPr>
              <w:spacing w:after="0"/>
              <w:cnfStyle w:val="000000100000" w:firstRow="0" w:lastRow="0" w:firstColumn="0" w:lastColumn="0" w:oddVBand="0" w:evenVBand="0" w:oddHBand="1" w:evenHBand="0" w:firstRowFirstColumn="0" w:firstRowLastColumn="0" w:lastRowFirstColumn="0" w:lastRowLastColumn="0"/>
              <w:rPr>
                <w:lang w:val="en-GB"/>
              </w:rPr>
            </w:pPr>
            <w:r>
              <w:rPr>
                <w:lang w:val="en-GB"/>
              </w:rPr>
              <w:t>9,10</w:t>
            </w:r>
          </w:p>
        </w:tc>
      </w:tr>
      <w:tr w:rsidR="00BF3091" w14:paraId="5CA0FF6E" w14:textId="77777777" w:rsidTr="003329E3">
        <w:trPr>
          <w:trHeight w:val="20"/>
          <w:jc w:val="center"/>
        </w:trPr>
        <w:tc>
          <w:tcPr>
            <w:cnfStyle w:val="001000000000" w:firstRow="0" w:lastRow="0" w:firstColumn="1" w:lastColumn="0" w:oddVBand="0" w:evenVBand="0" w:oddHBand="0" w:evenHBand="0" w:firstRowFirstColumn="0" w:firstRowLastColumn="0" w:lastRowFirstColumn="0" w:lastRowLastColumn="0"/>
            <w:tcW w:w="1345" w:type="dxa"/>
          </w:tcPr>
          <w:p w14:paraId="25EDE93A" w14:textId="77777777" w:rsidR="00BF3091" w:rsidRDefault="00BF3091" w:rsidP="003329E3">
            <w:pPr>
              <w:spacing w:after="0"/>
              <w:rPr>
                <w:lang w:val="en-GB"/>
              </w:rPr>
            </w:pPr>
            <w:r>
              <w:rPr>
                <w:lang w:val="en-GB"/>
              </w:rPr>
              <w:t>4</w:t>
            </w:r>
          </w:p>
        </w:tc>
        <w:tc>
          <w:tcPr>
            <w:tcW w:w="1170" w:type="dxa"/>
          </w:tcPr>
          <w:p w14:paraId="3319214D" w14:textId="77777777" w:rsidR="00BF3091" w:rsidRDefault="00BF3091" w:rsidP="003329E3">
            <w:pPr>
              <w:spacing w:after="0"/>
              <w:cnfStyle w:val="000000000000" w:firstRow="0" w:lastRow="0" w:firstColumn="0" w:lastColumn="0" w:oddVBand="0" w:evenVBand="0" w:oddHBand="0" w:evenHBand="0" w:firstRowFirstColumn="0" w:firstRowLastColumn="0" w:lastRowFirstColumn="0" w:lastRowLastColumn="0"/>
              <w:rPr>
                <w:lang w:val="en-GB"/>
              </w:rPr>
            </w:pPr>
            <w:r>
              <w:rPr>
                <w:lang w:val="en-GB"/>
              </w:rPr>
              <w:t>7,8</w:t>
            </w:r>
          </w:p>
        </w:tc>
        <w:tc>
          <w:tcPr>
            <w:tcW w:w="1260" w:type="dxa"/>
          </w:tcPr>
          <w:p w14:paraId="661F5F89" w14:textId="77777777" w:rsidR="00BF3091" w:rsidRDefault="00BF3091" w:rsidP="003329E3">
            <w:pPr>
              <w:spacing w:after="0"/>
              <w:cnfStyle w:val="000000000000" w:firstRow="0" w:lastRow="0" w:firstColumn="0" w:lastColumn="0" w:oddVBand="0" w:evenVBand="0" w:oddHBand="0" w:evenHBand="0" w:firstRowFirstColumn="0" w:firstRowLastColumn="0" w:lastRowFirstColumn="0" w:lastRowLastColumn="0"/>
              <w:rPr>
                <w:lang w:val="en-GB"/>
              </w:rPr>
            </w:pPr>
            <w:r>
              <w:rPr>
                <w:lang w:val="en-GB"/>
              </w:rPr>
              <w:t>9,10</w:t>
            </w:r>
          </w:p>
        </w:tc>
      </w:tr>
      <w:tr w:rsidR="00BF3091" w14:paraId="4216E428" w14:textId="77777777" w:rsidTr="003329E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345" w:type="dxa"/>
          </w:tcPr>
          <w:p w14:paraId="2774180C" w14:textId="26865B89" w:rsidR="00BF3091" w:rsidRDefault="00BF3091" w:rsidP="003329E3">
            <w:pPr>
              <w:spacing w:after="0"/>
              <w:rPr>
                <w:lang w:val="en-GB"/>
              </w:rPr>
            </w:pPr>
            <w:r>
              <w:rPr>
                <w:lang w:val="en-GB"/>
              </w:rPr>
              <w:t>5</w:t>
            </w:r>
          </w:p>
        </w:tc>
        <w:tc>
          <w:tcPr>
            <w:tcW w:w="1170" w:type="dxa"/>
          </w:tcPr>
          <w:p w14:paraId="2BCB4C38" w14:textId="77777777" w:rsidR="00BF3091" w:rsidRDefault="00BF3091" w:rsidP="003329E3">
            <w:pPr>
              <w:spacing w:after="0"/>
              <w:cnfStyle w:val="000000100000" w:firstRow="0" w:lastRow="0" w:firstColumn="0" w:lastColumn="0" w:oddVBand="0" w:evenVBand="0" w:oddHBand="1" w:evenHBand="0" w:firstRowFirstColumn="0" w:firstRowLastColumn="0" w:lastRowFirstColumn="0" w:lastRowLastColumn="0"/>
              <w:rPr>
                <w:lang w:val="en-GB"/>
              </w:rPr>
            </w:pPr>
            <w:r>
              <w:rPr>
                <w:lang w:val="en-GB"/>
              </w:rPr>
              <w:t>7,8</w:t>
            </w:r>
          </w:p>
        </w:tc>
        <w:tc>
          <w:tcPr>
            <w:tcW w:w="1260" w:type="dxa"/>
          </w:tcPr>
          <w:p w14:paraId="3137BB3D" w14:textId="77777777" w:rsidR="00BF3091" w:rsidRDefault="00BF3091" w:rsidP="003329E3">
            <w:pPr>
              <w:spacing w:after="0"/>
              <w:cnfStyle w:val="000000100000" w:firstRow="0" w:lastRow="0" w:firstColumn="0" w:lastColumn="0" w:oddVBand="0" w:evenVBand="0" w:oddHBand="1" w:evenHBand="0" w:firstRowFirstColumn="0" w:firstRowLastColumn="0" w:lastRowFirstColumn="0" w:lastRowLastColumn="0"/>
              <w:rPr>
                <w:lang w:val="en-GB"/>
              </w:rPr>
            </w:pPr>
            <w:r>
              <w:rPr>
                <w:lang w:val="en-GB"/>
              </w:rPr>
              <w:t>9,10,12</w:t>
            </w:r>
          </w:p>
        </w:tc>
      </w:tr>
      <w:tr w:rsidR="00BF3091" w14:paraId="60439D28" w14:textId="77777777" w:rsidTr="003329E3">
        <w:trPr>
          <w:trHeight w:val="20"/>
          <w:jc w:val="center"/>
        </w:trPr>
        <w:tc>
          <w:tcPr>
            <w:cnfStyle w:val="001000000000" w:firstRow="0" w:lastRow="0" w:firstColumn="1" w:lastColumn="0" w:oddVBand="0" w:evenVBand="0" w:oddHBand="0" w:evenHBand="0" w:firstRowFirstColumn="0" w:firstRowLastColumn="0" w:lastRowFirstColumn="0" w:lastRowLastColumn="0"/>
            <w:tcW w:w="1345" w:type="dxa"/>
          </w:tcPr>
          <w:p w14:paraId="033BB9F0" w14:textId="77777777" w:rsidR="00BF3091" w:rsidRDefault="00BF3091" w:rsidP="003329E3">
            <w:pPr>
              <w:spacing w:after="0"/>
              <w:rPr>
                <w:lang w:val="en-GB"/>
              </w:rPr>
            </w:pPr>
            <w:r>
              <w:rPr>
                <w:lang w:val="en-GB"/>
              </w:rPr>
              <w:t>6</w:t>
            </w:r>
          </w:p>
        </w:tc>
        <w:tc>
          <w:tcPr>
            <w:tcW w:w="1170" w:type="dxa"/>
          </w:tcPr>
          <w:p w14:paraId="2558D2C7" w14:textId="77777777" w:rsidR="00BF3091" w:rsidRDefault="00BF3091" w:rsidP="003329E3">
            <w:pPr>
              <w:spacing w:after="0"/>
              <w:cnfStyle w:val="000000000000" w:firstRow="0" w:lastRow="0" w:firstColumn="0" w:lastColumn="0" w:oddVBand="0" w:evenVBand="0" w:oddHBand="0" w:evenHBand="0" w:firstRowFirstColumn="0" w:firstRowLastColumn="0" w:lastRowFirstColumn="0" w:lastRowLastColumn="0"/>
              <w:rPr>
                <w:lang w:val="en-GB"/>
              </w:rPr>
            </w:pPr>
            <w:r>
              <w:rPr>
                <w:lang w:val="en-GB"/>
              </w:rPr>
              <w:t>7,8,11</w:t>
            </w:r>
          </w:p>
        </w:tc>
        <w:tc>
          <w:tcPr>
            <w:tcW w:w="1260" w:type="dxa"/>
          </w:tcPr>
          <w:p w14:paraId="5B9AE4AD" w14:textId="77777777" w:rsidR="00BF3091" w:rsidRDefault="00BF3091" w:rsidP="003329E3">
            <w:pPr>
              <w:spacing w:after="0"/>
              <w:cnfStyle w:val="000000000000" w:firstRow="0" w:lastRow="0" w:firstColumn="0" w:lastColumn="0" w:oddVBand="0" w:evenVBand="0" w:oddHBand="0" w:evenHBand="0" w:firstRowFirstColumn="0" w:firstRowLastColumn="0" w:lastRowFirstColumn="0" w:lastRowLastColumn="0"/>
              <w:rPr>
                <w:lang w:val="en-GB"/>
              </w:rPr>
            </w:pPr>
            <w:r>
              <w:rPr>
                <w:lang w:val="en-GB"/>
              </w:rPr>
              <w:t>9,10,12</w:t>
            </w:r>
          </w:p>
        </w:tc>
      </w:tr>
      <w:tr w:rsidR="00BF3091" w14:paraId="737E2B8F" w14:textId="77777777" w:rsidTr="003329E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345" w:type="dxa"/>
          </w:tcPr>
          <w:p w14:paraId="1CF0FF58" w14:textId="77777777" w:rsidR="00BF3091" w:rsidRDefault="00BF3091" w:rsidP="003329E3">
            <w:pPr>
              <w:spacing w:after="0"/>
              <w:rPr>
                <w:lang w:val="en-GB"/>
              </w:rPr>
            </w:pPr>
            <w:r>
              <w:rPr>
                <w:lang w:val="en-GB"/>
              </w:rPr>
              <w:t>7</w:t>
            </w:r>
          </w:p>
        </w:tc>
        <w:tc>
          <w:tcPr>
            <w:tcW w:w="1170" w:type="dxa"/>
          </w:tcPr>
          <w:p w14:paraId="64809774" w14:textId="77777777" w:rsidR="00BF3091" w:rsidRDefault="00BF3091" w:rsidP="003329E3">
            <w:pPr>
              <w:spacing w:after="0"/>
              <w:cnfStyle w:val="000000100000" w:firstRow="0" w:lastRow="0" w:firstColumn="0" w:lastColumn="0" w:oddVBand="0" w:evenVBand="0" w:oddHBand="1" w:evenHBand="0" w:firstRowFirstColumn="0" w:firstRowLastColumn="0" w:lastRowFirstColumn="0" w:lastRowLastColumn="0"/>
              <w:rPr>
                <w:lang w:val="en-GB"/>
              </w:rPr>
            </w:pPr>
            <w:r>
              <w:rPr>
                <w:lang w:val="en-GB"/>
              </w:rPr>
              <w:t>7,8,11</w:t>
            </w:r>
          </w:p>
        </w:tc>
        <w:tc>
          <w:tcPr>
            <w:tcW w:w="1260" w:type="dxa"/>
          </w:tcPr>
          <w:p w14:paraId="343F17BB" w14:textId="77777777" w:rsidR="00BF3091" w:rsidRDefault="00BF3091" w:rsidP="003329E3">
            <w:pPr>
              <w:spacing w:after="0"/>
              <w:cnfStyle w:val="000000100000" w:firstRow="0" w:lastRow="0" w:firstColumn="0" w:lastColumn="0" w:oddVBand="0" w:evenVBand="0" w:oddHBand="1" w:evenHBand="0" w:firstRowFirstColumn="0" w:firstRowLastColumn="0" w:lastRowFirstColumn="0" w:lastRowLastColumn="0"/>
              <w:rPr>
                <w:lang w:val="en-GB"/>
              </w:rPr>
            </w:pPr>
            <w:r>
              <w:rPr>
                <w:lang w:val="en-GB"/>
              </w:rPr>
              <w:t>9,10,12,14</w:t>
            </w:r>
          </w:p>
        </w:tc>
      </w:tr>
      <w:tr w:rsidR="00BF3091" w14:paraId="2C83967B" w14:textId="77777777" w:rsidTr="003329E3">
        <w:trPr>
          <w:trHeight w:val="20"/>
          <w:jc w:val="center"/>
        </w:trPr>
        <w:tc>
          <w:tcPr>
            <w:cnfStyle w:val="001000000000" w:firstRow="0" w:lastRow="0" w:firstColumn="1" w:lastColumn="0" w:oddVBand="0" w:evenVBand="0" w:oddHBand="0" w:evenHBand="0" w:firstRowFirstColumn="0" w:firstRowLastColumn="0" w:lastRowFirstColumn="0" w:lastRowLastColumn="0"/>
            <w:tcW w:w="1345" w:type="dxa"/>
          </w:tcPr>
          <w:p w14:paraId="4A5A09DB" w14:textId="77777777" w:rsidR="00BF3091" w:rsidRDefault="00BF3091" w:rsidP="003329E3">
            <w:pPr>
              <w:spacing w:after="0"/>
              <w:rPr>
                <w:lang w:val="en-GB"/>
              </w:rPr>
            </w:pPr>
            <w:r>
              <w:rPr>
                <w:lang w:val="en-GB"/>
              </w:rPr>
              <w:t>8</w:t>
            </w:r>
          </w:p>
        </w:tc>
        <w:tc>
          <w:tcPr>
            <w:tcW w:w="1170" w:type="dxa"/>
          </w:tcPr>
          <w:p w14:paraId="7B38E89A" w14:textId="77777777" w:rsidR="00BF3091" w:rsidRDefault="00BF3091" w:rsidP="003329E3">
            <w:pPr>
              <w:spacing w:after="0"/>
              <w:cnfStyle w:val="000000000000" w:firstRow="0" w:lastRow="0" w:firstColumn="0" w:lastColumn="0" w:oddVBand="0" w:evenVBand="0" w:oddHBand="0" w:evenHBand="0" w:firstRowFirstColumn="0" w:firstRowLastColumn="0" w:lastRowFirstColumn="0" w:lastRowLastColumn="0"/>
              <w:rPr>
                <w:lang w:val="en-GB"/>
              </w:rPr>
            </w:pPr>
            <w:r>
              <w:rPr>
                <w:lang w:val="en-GB"/>
              </w:rPr>
              <w:t>7,8,11,13</w:t>
            </w:r>
          </w:p>
        </w:tc>
        <w:tc>
          <w:tcPr>
            <w:tcW w:w="1260" w:type="dxa"/>
          </w:tcPr>
          <w:p w14:paraId="5140582D" w14:textId="77777777" w:rsidR="00BF3091" w:rsidRDefault="00BF3091" w:rsidP="003329E3">
            <w:pPr>
              <w:spacing w:after="0"/>
              <w:cnfStyle w:val="000000000000" w:firstRow="0" w:lastRow="0" w:firstColumn="0" w:lastColumn="0" w:oddVBand="0" w:evenVBand="0" w:oddHBand="0" w:evenHBand="0" w:firstRowFirstColumn="0" w:firstRowLastColumn="0" w:lastRowFirstColumn="0" w:lastRowLastColumn="0"/>
              <w:rPr>
                <w:lang w:val="en-GB"/>
              </w:rPr>
            </w:pPr>
            <w:r>
              <w:rPr>
                <w:lang w:val="en-GB"/>
              </w:rPr>
              <w:t>9,10,12,14</w:t>
            </w:r>
          </w:p>
        </w:tc>
      </w:tr>
    </w:tbl>
    <w:p w14:paraId="1B3C1937" w14:textId="716A0FD0" w:rsidR="00BF3091" w:rsidRDefault="00BF3091" w:rsidP="00BC6568">
      <w:pPr>
        <w:rPr>
          <w:lang w:val="en-GB"/>
        </w:rPr>
      </w:pPr>
    </w:p>
    <w:p w14:paraId="6FE2C766" w14:textId="400FB9F9" w:rsidR="00302AE9" w:rsidRPr="00940694" w:rsidRDefault="00302AE9" w:rsidP="002B6233">
      <w:pPr>
        <w:rPr>
          <w:b/>
          <w:lang w:val="en-GB"/>
        </w:rPr>
      </w:pPr>
      <w:bookmarkStart w:id="5" w:name="p2"/>
      <w:r w:rsidRPr="00940694">
        <w:rPr>
          <w:b/>
          <w:lang w:val="en-GB"/>
        </w:rPr>
        <w:t xml:space="preserve">Proposal </w:t>
      </w:r>
      <w:r w:rsidRPr="00940694">
        <w:rPr>
          <w:b/>
          <w:lang w:val="en-GB"/>
        </w:rPr>
        <w:fldChar w:fldCharType="begin"/>
      </w:r>
      <w:r w:rsidRPr="00940694">
        <w:rPr>
          <w:b/>
          <w:lang w:val="en-GB"/>
        </w:rPr>
        <w:instrText xml:space="preserve"> seq prop </w:instrText>
      </w:r>
      <w:r w:rsidRPr="00940694">
        <w:rPr>
          <w:b/>
          <w:lang w:val="en-GB"/>
        </w:rPr>
        <w:fldChar w:fldCharType="separate"/>
      </w:r>
      <w:r w:rsidR="00D920AB">
        <w:rPr>
          <w:b/>
          <w:noProof/>
          <w:lang w:val="en-GB"/>
        </w:rPr>
        <w:t>2</w:t>
      </w:r>
      <w:r w:rsidRPr="00940694">
        <w:rPr>
          <w:b/>
          <w:lang w:val="en-GB"/>
        </w:rPr>
        <w:fldChar w:fldCharType="end"/>
      </w:r>
      <w:r w:rsidRPr="00940694">
        <w:rPr>
          <w:b/>
          <w:lang w:val="en-GB"/>
        </w:rPr>
        <w:t xml:space="preserve">. For DMRS port to layer mapping, </w:t>
      </w:r>
      <w:r w:rsidR="00940694" w:rsidRPr="00940694">
        <w:rPr>
          <w:b/>
          <w:lang w:val="en-GB"/>
        </w:rPr>
        <w:fldChar w:fldCharType="begin"/>
      </w:r>
      <w:r w:rsidR="00940694" w:rsidRPr="00940694">
        <w:rPr>
          <w:b/>
          <w:lang w:val="en-GB"/>
        </w:rPr>
        <w:instrText xml:space="preserve"> REF _Ref490057904 \h </w:instrText>
      </w:r>
      <w:r w:rsidR="00940694" w:rsidRPr="00940694">
        <w:rPr>
          <w:b/>
          <w:lang w:val="en-GB"/>
        </w:rPr>
      </w:r>
      <w:r w:rsidR="00940694" w:rsidRPr="00940694">
        <w:rPr>
          <w:b/>
          <w:lang w:val="en-GB"/>
        </w:rPr>
        <w:instrText xml:space="preserve"> \* MERGEFORMAT </w:instrText>
      </w:r>
      <w:r w:rsidR="00940694" w:rsidRPr="00940694">
        <w:rPr>
          <w:b/>
          <w:lang w:val="en-GB"/>
        </w:rPr>
        <w:fldChar w:fldCharType="separate"/>
      </w:r>
      <w:r w:rsidR="00D920AB" w:rsidRPr="00D920AB">
        <w:rPr>
          <w:b/>
        </w:rPr>
        <w:t xml:space="preserve">Table </w:t>
      </w:r>
      <w:r w:rsidR="00D920AB" w:rsidRPr="00D920AB">
        <w:rPr>
          <w:b/>
          <w:noProof/>
        </w:rPr>
        <w:t>2</w:t>
      </w:r>
      <w:r w:rsidR="00940694" w:rsidRPr="00940694">
        <w:rPr>
          <w:b/>
          <w:lang w:val="en-GB"/>
        </w:rPr>
        <w:fldChar w:fldCharType="end"/>
      </w:r>
      <w:r w:rsidR="00940694" w:rsidRPr="00940694">
        <w:rPr>
          <w:b/>
          <w:lang w:val="en-GB"/>
        </w:rPr>
        <w:t xml:space="preserve"> is adopted </w:t>
      </w:r>
      <w:r w:rsidR="00940694">
        <w:rPr>
          <w:b/>
          <w:lang w:val="en-GB"/>
        </w:rPr>
        <w:t>to FDM DMRS ports from different DMRS port groups.</w:t>
      </w:r>
    </w:p>
    <w:bookmarkEnd w:id="5"/>
    <w:p w14:paraId="3F27411E" w14:textId="411672A4" w:rsidR="00940694" w:rsidRDefault="00C60A68" w:rsidP="002B6233">
      <w:pPr>
        <w:rPr>
          <w:lang w:val="en-GB"/>
        </w:rPr>
      </w:pPr>
      <w:r w:rsidRPr="00C60A68">
        <w:rPr>
          <w:lang w:val="en-GB"/>
        </w:rPr>
        <w:t>On the</w:t>
      </w:r>
      <w:r>
        <w:rPr>
          <w:lang w:val="en-GB"/>
        </w:rPr>
        <w:t xml:space="preserve"> other hand, if the DMRS port to layer mapping in </w:t>
      </w:r>
      <w:r>
        <w:rPr>
          <w:lang w:val="en-GB"/>
        </w:rPr>
        <w:fldChar w:fldCharType="begin"/>
      </w:r>
      <w:r>
        <w:rPr>
          <w:lang w:val="en-GB"/>
        </w:rPr>
        <w:instrText xml:space="preserve"> REF _Ref490057896 \h </w:instrText>
      </w:r>
      <w:r>
        <w:rPr>
          <w:lang w:val="en-GB"/>
        </w:rPr>
      </w:r>
      <w:r>
        <w:rPr>
          <w:lang w:val="en-GB"/>
        </w:rPr>
        <w:fldChar w:fldCharType="separate"/>
      </w:r>
      <w:r w:rsidR="00D920AB">
        <w:t xml:space="preserve">Table </w:t>
      </w:r>
      <w:r w:rsidR="00D920AB">
        <w:rPr>
          <w:noProof/>
        </w:rPr>
        <w:t>1</w:t>
      </w:r>
      <w:r>
        <w:rPr>
          <w:lang w:val="en-GB"/>
        </w:rPr>
        <w:fldChar w:fldCharType="end"/>
      </w:r>
      <w:r>
        <w:rPr>
          <w:lang w:val="en-GB"/>
        </w:rPr>
        <w:t xml:space="preserve"> is adopted, some relaxation is needed for rank 2 transmission in performance spec.</w:t>
      </w:r>
    </w:p>
    <w:p w14:paraId="6AB66D00" w14:textId="10DF46A4" w:rsidR="00C60A68" w:rsidRPr="00D920AB" w:rsidRDefault="00C60A68" w:rsidP="002B6233">
      <w:pPr>
        <w:rPr>
          <w:b/>
          <w:lang w:val="en-GB"/>
        </w:rPr>
      </w:pPr>
      <w:bookmarkStart w:id="6" w:name="p3"/>
      <w:r w:rsidRPr="00D920AB">
        <w:rPr>
          <w:b/>
          <w:lang w:val="en-GB"/>
        </w:rPr>
        <w:t xml:space="preserve">Proposal </w:t>
      </w:r>
      <w:r w:rsidRPr="00D920AB">
        <w:rPr>
          <w:b/>
          <w:lang w:val="en-GB"/>
        </w:rPr>
        <w:fldChar w:fldCharType="begin"/>
      </w:r>
      <w:r w:rsidRPr="00D920AB">
        <w:rPr>
          <w:b/>
          <w:lang w:val="en-GB"/>
        </w:rPr>
        <w:instrText xml:space="preserve"> seq prop </w:instrText>
      </w:r>
      <w:r w:rsidRPr="00D920AB">
        <w:rPr>
          <w:b/>
          <w:lang w:val="en-GB"/>
        </w:rPr>
        <w:fldChar w:fldCharType="separate"/>
      </w:r>
      <w:r w:rsidR="00D920AB">
        <w:rPr>
          <w:b/>
          <w:noProof/>
          <w:lang w:val="en-GB"/>
        </w:rPr>
        <w:t>3</w:t>
      </w:r>
      <w:r w:rsidRPr="00D920AB">
        <w:rPr>
          <w:b/>
          <w:lang w:val="en-GB"/>
        </w:rPr>
        <w:fldChar w:fldCharType="end"/>
      </w:r>
      <w:r w:rsidRPr="00D920AB">
        <w:rPr>
          <w:b/>
          <w:lang w:val="en-GB"/>
        </w:rPr>
        <w:t xml:space="preserve">. For DMRS port to layer mapping, if </w:t>
      </w:r>
      <w:r w:rsidRPr="00D920AB">
        <w:rPr>
          <w:b/>
          <w:lang w:val="en-GB"/>
        </w:rPr>
        <w:fldChar w:fldCharType="begin"/>
      </w:r>
      <w:r w:rsidRPr="00D920AB">
        <w:rPr>
          <w:b/>
          <w:lang w:val="en-GB"/>
        </w:rPr>
        <w:instrText xml:space="preserve"> REF _Ref490057896 \h </w:instrText>
      </w:r>
      <w:r w:rsidRPr="00D920AB">
        <w:rPr>
          <w:b/>
          <w:lang w:val="en-GB"/>
        </w:rPr>
      </w:r>
      <w:r w:rsidR="00D920AB">
        <w:rPr>
          <w:b/>
          <w:lang w:val="en-GB"/>
        </w:rPr>
        <w:instrText xml:space="preserve"> \* MERGEFORMAT </w:instrText>
      </w:r>
      <w:r w:rsidRPr="00D920AB">
        <w:rPr>
          <w:b/>
          <w:lang w:val="en-GB"/>
        </w:rPr>
        <w:fldChar w:fldCharType="separate"/>
      </w:r>
      <w:r w:rsidR="00D920AB" w:rsidRPr="00D920AB">
        <w:rPr>
          <w:b/>
        </w:rPr>
        <w:t xml:space="preserve">Table </w:t>
      </w:r>
      <w:r w:rsidR="00D920AB" w:rsidRPr="00D920AB">
        <w:rPr>
          <w:b/>
          <w:noProof/>
        </w:rPr>
        <w:t>1</w:t>
      </w:r>
      <w:r w:rsidRPr="00D920AB">
        <w:rPr>
          <w:b/>
          <w:lang w:val="en-GB"/>
        </w:rPr>
        <w:fldChar w:fldCharType="end"/>
      </w:r>
      <w:r w:rsidRPr="00D920AB">
        <w:rPr>
          <w:b/>
          <w:lang w:val="en-GB"/>
        </w:rPr>
        <w:t xml:space="preserve"> is adopted, </w:t>
      </w:r>
      <w:r w:rsidR="00D920AB" w:rsidRPr="00D920AB">
        <w:rPr>
          <w:b/>
          <w:lang w:val="en-GB"/>
        </w:rPr>
        <w:t>rank 2 NCJT transmission performance spec needs to be relaxed relative to higher ranks.</w:t>
      </w:r>
    </w:p>
    <w:bookmarkEnd w:id="6"/>
    <w:p w14:paraId="2F77E7C7" w14:textId="6F9FFE7E" w:rsidR="00491EEE" w:rsidRDefault="006E6E37" w:rsidP="00843B71">
      <w:pPr>
        <w:pStyle w:val="Heading1"/>
        <w:jc w:val="both"/>
      </w:pPr>
      <w:r>
        <w:t>3</w:t>
      </w:r>
      <w:r w:rsidR="00491EEE" w:rsidRPr="00E05A22">
        <w:tab/>
        <w:t xml:space="preserve">Conclusions </w:t>
      </w:r>
    </w:p>
    <w:p w14:paraId="02541281" w14:textId="2CA0CB5E" w:rsidR="00C2188F" w:rsidRDefault="006E4B43" w:rsidP="0075179E">
      <w:pPr>
        <w:rPr>
          <w:iCs/>
        </w:rPr>
      </w:pPr>
      <w:r>
        <w:rPr>
          <w:iCs/>
        </w:rPr>
        <w:t xml:space="preserve">For the </w:t>
      </w:r>
      <w:r w:rsidR="00940694">
        <w:rPr>
          <w:iCs/>
        </w:rPr>
        <w:t>resource allocation and DMRS port to layer mapping</w:t>
      </w:r>
      <w:r>
        <w:rPr>
          <w:iCs/>
        </w:rPr>
        <w:t xml:space="preserve"> for NCJT, we propose the following:</w:t>
      </w:r>
    </w:p>
    <w:p w14:paraId="133BCF2D" w14:textId="77777777" w:rsidR="00D920AB" w:rsidRDefault="00940694" w:rsidP="00AD3B96">
      <w:pPr>
        <w:rPr>
          <w:b/>
          <w:lang w:val="en-GB"/>
        </w:rPr>
      </w:pPr>
      <w:r>
        <w:rPr>
          <w:iCs/>
        </w:rPr>
        <w:fldChar w:fldCharType="begin"/>
      </w:r>
      <w:r>
        <w:rPr>
          <w:iCs/>
        </w:rPr>
        <w:instrText xml:space="preserve"> REF p1 \h </w:instrText>
      </w:r>
      <w:r>
        <w:rPr>
          <w:iCs/>
        </w:rPr>
      </w:r>
      <w:r>
        <w:rPr>
          <w:iCs/>
        </w:rPr>
        <w:fldChar w:fldCharType="separate"/>
      </w:r>
      <w:r w:rsidR="00D920AB" w:rsidRPr="00A224A1">
        <w:rPr>
          <w:b/>
          <w:lang w:val="en-GB"/>
        </w:rPr>
        <w:t xml:space="preserve">Proposal </w:t>
      </w:r>
      <w:r w:rsidR="00D920AB">
        <w:rPr>
          <w:b/>
          <w:noProof/>
          <w:lang w:val="en-GB"/>
        </w:rPr>
        <w:t>1</w:t>
      </w:r>
      <w:r w:rsidR="00D920AB" w:rsidRPr="00A224A1">
        <w:rPr>
          <w:b/>
          <w:lang w:val="en-GB"/>
        </w:rPr>
        <w:t xml:space="preserve">.  </w:t>
      </w:r>
      <w:r w:rsidR="00D920AB">
        <w:rPr>
          <w:b/>
          <w:lang w:val="en-GB"/>
        </w:rPr>
        <w:t xml:space="preserve">NCJT in feCoMP only support different CWs from different TPs with independent precoding, fully overlapped resource allocation from different TPs. </w:t>
      </w:r>
    </w:p>
    <w:p w14:paraId="47CD054D" w14:textId="77777777" w:rsidR="00D920AB" w:rsidRPr="00940694" w:rsidRDefault="00940694" w:rsidP="002B6233">
      <w:pPr>
        <w:rPr>
          <w:b/>
          <w:lang w:val="en-GB"/>
        </w:rPr>
      </w:pPr>
      <w:r>
        <w:rPr>
          <w:iCs/>
        </w:rPr>
        <w:fldChar w:fldCharType="end"/>
      </w:r>
      <w:r>
        <w:rPr>
          <w:iCs/>
        </w:rPr>
        <w:fldChar w:fldCharType="begin"/>
      </w:r>
      <w:r>
        <w:rPr>
          <w:iCs/>
        </w:rPr>
        <w:instrText xml:space="preserve"> REF p2 \h </w:instrText>
      </w:r>
      <w:r>
        <w:rPr>
          <w:iCs/>
        </w:rPr>
      </w:r>
      <w:r>
        <w:rPr>
          <w:iCs/>
        </w:rPr>
        <w:fldChar w:fldCharType="separate"/>
      </w:r>
      <w:r w:rsidR="00D920AB" w:rsidRPr="00940694">
        <w:rPr>
          <w:b/>
          <w:lang w:val="en-GB"/>
        </w:rPr>
        <w:t xml:space="preserve">Proposal </w:t>
      </w:r>
      <w:r w:rsidR="00D920AB">
        <w:rPr>
          <w:b/>
          <w:noProof/>
          <w:lang w:val="en-GB"/>
        </w:rPr>
        <w:t>2</w:t>
      </w:r>
      <w:r w:rsidR="00D920AB" w:rsidRPr="00940694">
        <w:rPr>
          <w:b/>
          <w:lang w:val="en-GB"/>
        </w:rPr>
        <w:t xml:space="preserve">. For DMRS port to layer mapping, </w:t>
      </w:r>
      <w:r w:rsidR="00D920AB" w:rsidRPr="00D920AB">
        <w:rPr>
          <w:b/>
        </w:rPr>
        <w:t xml:space="preserve">Table </w:t>
      </w:r>
      <w:r w:rsidR="00D920AB" w:rsidRPr="00D920AB">
        <w:rPr>
          <w:b/>
          <w:noProof/>
        </w:rPr>
        <w:t>2</w:t>
      </w:r>
      <w:r w:rsidR="00D920AB" w:rsidRPr="00940694">
        <w:rPr>
          <w:b/>
          <w:lang w:val="en-GB"/>
        </w:rPr>
        <w:t xml:space="preserve"> is adopted </w:t>
      </w:r>
      <w:r w:rsidR="00D920AB">
        <w:rPr>
          <w:b/>
          <w:lang w:val="en-GB"/>
        </w:rPr>
        <w:t>to FDM DMRS ports from different DMRS port groups.</w:t>
      </w:r>
    </w:p>
    <w:p w14:paraId="1431D151" w14:textId="77777777" w:rsidR="00D920AB" w:rsidRPr="00D920AB" w:rsidRDefault="00940694" w:rsidP="002B6233">
      <w:pPr>
        <w:rPr>
          <w:b/>
          <w:lang w:val="en-GB"/>
        </w:rPr>
      </w:pPr>
      <w:r>
        <w:rPr>
          <w:iCs/>
        </w:rPr>
        <w:fldChar w:fldCharType="end"/>
      </w:r>
      <w:r w:rsidR="00D920AB">
        <w:rPr>
          <w:iCs/>
        </w:rPr>
        <w:fldChar w:fldCharType="begin"/>
      </w:r>
      <w:r w:rsidR="00D920AB">
        <w:rPr>
          <w:iCs/>
        </w:rPr>
        <w:instrText xml:space="preserve"> REF p3 \h </w:instrText>
      </w:r>
      <w:r w:rsidR="00D920AB">
        <w:rPr>
          <w:iCs/>
        </w:rPr>
      </w:r>
      <w:r w:rsidR="00D920AB">
        <w:rPr>
          <w:iCs/>
        </w:rPr>
        <w:fldChar w:fldCharType="separate"/>
      </w:r>
      <w:r w:rsidR="00D920AB" w:rsidRPr="00D920AB">
        <w:rPr>
          <w:b/>
          <w:lang w:val="en-GB"/>
        </w:rPr>
        <w:t xml:space="preserve">Proposal </w:t>
      </w:r>
      <w:r w:rsidR="00D920AB">
        <w:rPr>
          <w:b/>
          <w:noProof/>
          <w:lang w:val="en-GB"/>
        </w:rPr>
        <w:t>3</w:t>
      </w:r>
      <w:r w:rsidR="00D920AB" w:rsidRPr="00D920AB">
        <w:rPr>
          <w:b/>
          <w:lang w:val="en-GB"/>
        </w:rPr>
        <w:t xml:space="preserve">. For DMRS port to layer mapping, if </w:t>
      </w:r>
      <w:r w:rsidR="00D920AB" w:rsidRPr="00D920AB">
        <w:rPr>
          <w:b/>
        </w:rPr>
        <w:t xml:space="preserve">Table </w:t>
      </w:r>
      <w:r w:rsidR="00D920AB" w:rsidRPr="00D920AB">
        <w:rPr>
          <w:b/>
          <w:noProof/>
        </w:rPr>
        <w:t>1</w:t>
      </w:r>
      <w:r w:rsidR="00D920AB" w:rsidRPr="00D920AB">
        <w:rPr>
          <w:b/>
          <w:lang w:val="en-GB"/>
        </w:rPr>
        <w:t xml:space="preserve"> is adopted, rank 2 NCJT transmission performance spec needs to be relaxed relative to higher ranks.</w:t>
      </w:r>
    </w:p>
    <w:p w14:paraId="2CD8DE66" w14:textId="4596F3D5" w:rsidR="00940694" w:rsidRDefault="00D920AB" w:rsidP="0075179E">
      <w:pPr>
        <w:rPr>
          <w:iCs/>
        </w:rPr>
      </w:pPr>
      <w:r>
        <w:rPr>
          <w:iCs/>
        </w:rPr>
        <w:fldChar w:fldCharType="end"/>
      </w:r>
    </w:p>
    <w:p w14:paraId="1E4B701C" w14:textId="674F3EF1" w:rsidR="001755CA" w:rsidRPr="00C1194B" w:rsidRDefault="006E6E37" w:rsidP="006E6E37">
      <w:pPr>
        <w:pStyle w:val="Heading1"/>
      </w:pPr>
      <w:r w:rsidRPr="006E6E37">
        <w:t>4</w:t>
      </w:r>
      <w:r>
        <w:tab/>
      </w:r>
      <w:r w:rsidR="001755CA" w:rsidRPr="006E6E37">
        <w:t>References</w:t>
      </w:r>
      <w:r w:rsidR="001755CA" w:rsidRPr="00C1194B">
        <w:t xml:space="preserve"> </w:t>
      </w:r>
    </w:p>
    <w:p w14:paraId="1B3F4A4E" w14:textId="77777777" w:rsidR="00507432" w:rsidRDefault="00507432" w:rsidP="00507432">
      <w:pPr>
        <w:rPr>
          <w:lang w:val="en-GB"/>
        </w:rPr>
      </w:pPr>
      <w:r>
        <w:rPr>
          <w:lang w:val="en-GB"/>
        </w:rPr>
        <w:t>[1]. TR 36.741 v2.0.1 “</w:t>
      </w:r>
      <w:r w:rsidRPr="00B108AD">
        <w:rPr>
          <w:lang w:val="en-GB"/>
        </w:rPr>
        <w:t>3rd Generation Partnership Project;</w:t>
      </w:r>
      <w:r>
        <w:rPr>
          <w:lang w:val="en-GB"/>
        </w:rPr>
        <w:t xml:space="preserve"> </w:t>
      </w:r>
      <w:r w:rsidRPr="00B108AD">
        <w:rPr>
          <w:lang w:val="en-GB"/>
        </w:rPr>
        <w:t>Technical Specification Group Radio Access Network;</w:t>
      </w:r>
      <w:r>
        <w:rPr>
          <w:lang w:val="en-GB"/>
        </w:rPr>
        <w:t xml:space="preserve"> </w:t>
      </w:r>
      <w:r w:rsidRPr="00B108AD">
        <w:rPr>
          <w:lang w:val="en-GB"/>
        </w:rPr>
        <w:t>Study on further enhancements to Coordinated Multi-Point (CoMP) Operation for LTE</w:t>
      </w:r>
      <w:r>
        <w:rPr>
          <w:lang w:val="en-GB"/>
        </w:rPr>
        <w:t>”, 3GPP</w:t>
      </w:r>
    </w:p>
    <w:p w14:paraId="66124CEE" w14:textId="77777777" w:rsidR="00507432" w:rsidRDefault="00507432" w:rsidP="00507432">
      <w:pPr>
        <w:rPr>
          <w:lang w:val="en-GB"/>
        </w:rPr>
      </w:pPr>
      <w:r>
        <w:rPr>
          <w:lang w:val="en-GB"/>
        </w:rPr>
        <w:t>[2]. RP-</w:t>
      </w:r>
      <w:r>
        <w:t>170750, “</w:t>
      </w:r>
      <w:r w:rsidRPr="00B108AD">
        <w:t>New WID: Further enhancements to Coordinated Multi-Point (CoMP) Operation for LTE</w:t>
      </w:r>
      <w:r>
        <w:t>”, Intel, ZTE</w:t>
      </w:r>
    </w:p>
    <w:p w14:paraId="0117461B" w14:textId="77777777" w:rsidR="00C77113" w:rsidRPr="00526653" w:rsidRDefault="00C77113" w:rsidP="00FD3822">
      <w:pPr>
        <w:jc w:val="center"/>
        <w:rPr>
          <w:lang w:val="en-GB"/>
        </w:rPr>
      </w:pPr>
      <w:bookmarkStart w:id="7" w:name="_GoBack"/>
      <w:bookmarkEnd w:id="7"/>
    </w:p>
    <w:sectPr w:rsidR="00C77113" w:rsidRPr="00526653"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CEB54" w14:textId="77777777" w:rsidR="00F770E4" w:rsidRDefault="00F770E4">
      <w:r>
        <w:separator/>
      </w:r>
    </w:p>
  </w:endnote>
  <w:endnote w:type="continuationSeparator" w:id="0">
    <w:p w14:paraId="6A0A0D3C" w14:textId="77777777" w:rsidR="00F770E4" w:rsidRDefault="00F770E4">
      <w:r>
        <w:continuationSeparator/>
      </w:r>
    </w:p>
  </w:endnote>
  <w:endnote w:type="continuationNotice" w:id="1">
    <w:p w14:paraId="114A8594" w14:textId="77777777" w:rsidR="00F770E4" w:rsidRDefault="00F770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535770" w:rsidRDefault="0053577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535770" w:rsidRDefault="0053577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5EAC6DAA" w:rsidR="00535770" w:rsidRDefault="0053577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920A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20A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B586A" w14:textId="77777777" w:rsidR="00F770E4" w:rsidRDefault="00F770E4">
      <w:r>
        <w:separator/>
      </w:r>
    </w:p>
  </w:footnote>
  <w:footnote w:type="continuationSeparator" w:id="0">
    <w:p w14:paraId="6842BDAA" w14:textId="77777777" w:rsidR="00F770E4" w:rsidRDefault="00F770E4">
      <w:r>
        <w:continuationSeparator/>
      </w:r>
    </w:p>
  </w:footnote>
  <w:footnote w:type="continuationNotice" w:id="1">
    <w:p w14:paraId="4EAFFB7A" w14:textId="77777777" w:rsidR="00F770E4" w:rsidRDefault="00F770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535770" w:rsidRDefault="0053577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63715"/>
    <w:multiLevelType w:val="multilevel"/>
    <w:tmpl w:val="1C3EB554"/>
    <w:numStyleLink w:val="Style1"/>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E23B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826A4"/>
    <w:multiLevelType w:val="hybridMultilevel"/>
    <w:tmpl w:val="68A058D6"/>
    <w:lvl w:ilvl="0" w:tplc="9EF0D1D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C6D56"/>
    <w:multiLevelType w:val="multilevel"/>
    <w:tmpl w:val="1C3EB554"/>
    <w:styleLink w:val="Styl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8415CD"/>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C3718"/>
    <w:multiLevelType w:val="hybridMultilevel"/>
    <w:tmpl w:val="91722BD8"/>
    <w:lvl w:ilvl="0" w:tplc="833039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D50778"/>
    <w:multiLevelType w:val="multilevel"/>
    <w:tmpl w:val="1C3EB554"/>
    <w:numStyleLink w:val="Style1"/>
  </w:abstractNum>
  <w:num w:numId="1">
    <w:abstractNumId w:val="12"/>
  </w:num>
  <w:num w:numId="2">
    <w:abstractNumId w:val="2"/>
  </w:num>
  <w:num w:numId="3">
    <w:abstractNumId w:val="17"/>
  </w:num>
  <w:num w:numId="4">
    <w:abstractNumId w:val="0"/>
  </w:num>
  <w:num w:numId="5">
    <w:abstractNumId w:val="10"/>
  </w:num>
  <w:num w:numId="6">
    <w:abstractNumId w:val="27"/>
  </w:num>
  <w:num w:numId="7">
    <w:abstractNumId w:val="14"/>
  </w:num>
  <w:num w:numId="8">
    <w:abstractNumId w:val="15"/>
  </w:num>
  <w:num w:numId="9">
    <w:abstractNumId w:val="13"/>
  </w:num>
  <w:num w:numId="10">
    <w:abstractNumId w:val="24"/>
  </w:num>
  <w:num w:numId="11">
    <w:abstractNumId w:val="4"/>
  </w:num>
  <w:num w:numId="12">
    <w:abstractNumId w:val="11"/>
  </w:num>
  <w:num w:numId="13">
    <w:abstractNumId w:val="5"/>
  </w:num>
  <w:num w:numId="14">
    <w:abstractNumId w:val="7"/>
  </w:num>
  <w:num w:numId="15">
    <w:abstractNumId w:val="20"/>
  </w:num>
  <w:num w:numId="16">
    <w:abstractNumId w:val="22"/>
  </w:num>
  <w:num w:numId="17">
    <w:abstractNumId w:val="9"/>
  </w:num>
  <w:num w:numId="18">
    <w:abstractNumId w:val="28"/>
  </w:num>
  <w:num w:numId="19">
    <w:abstractNumId w:val="21"/>
  </w:num>
  <w:num w:numId="20">
    <w:abstractNumId w:val="23"/>
  </w:num>
  <w:num w:numId="21">
    <w:abstractNumId w:val="8"/>
  </w:num>
  <w:num w:numId="22">
    <w:abstractNumId w:val="26"/>
  </w:num>
  <w:num w:numId="23">
    <w:abstractNumId w:val="25"/>
  </w:num>
  <w:num w:numId="24">
    <w:abstractNumId w:val="16"/>
  </w:num>
  <w:num w:numId="25">
    <w:abstractNumId w:val="18"/>
  </w:num>
  <w:num w:numId="26">
    <w:abstractNumId w:val="30"/>
  </w:num>
  <w:num w:numId="27">
    <w:abstractNumId w:val="29"/>
  </w:num>
  <w:num w:numId="28">
    <w:abstractNumId w:val="19"/>
  </w:num>
  <w:num w:numId="29">
    <w:abstractNumId w:val="3"/>
  </w:num>
  <w:num w:numId="30">
    <w:abstractNumId w:val="6"/>
  </w:num>
  <w:num w:numId="3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8A7"/>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A65"/>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6BA4"/>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1279"/>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56C"/>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1584"/>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6233"/>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1B6"/>
    <w:rsid w:val="002F5C18"/>
    <w:rsid w:val="002F5FDA"/>
    <w:rsid w:val="002F7D48"/>
    <w:rsid w:val="0030000D"/>
    <w:rsid w:val="003005AC"/>
    <w:rsid w:val="00300A26"/>
    <w:rsid w:val="003011C0"/>
    <w:rsid w:val="0030121F"/>
    <w:rsid w:val="00301890"/>
    <w:rsid w:val="003024DE"/>
    <w:rsid w:val="00302701"/>
    <w:rsid w:val="00302AE9"/>
    <w:rsid w:val="00303442"/>
    <w:rsid w:val="003044B9"/>
    <w:rsid w:val="003073BB"/>
    <w:rsid w:val="00307683"/>
    <w:rsid w:val="00307B27"/>
    <w:rsid w:val="00307D3F"/>
    <w:rsid w:val="0031013F"/>
    <w:rsid w:val="0031058E"/>
    <w:rsid w:val="00311941"/>
    <w:rsid w:val="003123EA"/>
    <w:rsid w:val="003125FA"/>
    <w:rsid w:val="00313C4F"/>
    <w:rsid w:val="00314280"/>
    <w:rsid w:val="0031495F"/>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B7391"/>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432"/>
    <w:rsid w:val="00507CAF"/>
    <w:rsid w:val="00510444"/>
    <w:rsid w:val="00510644"/>
    <w:rsid w:val="00510BF8"/>
    <w:rsid w:val="0051100F"/>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35770"/>
    <w:rsid w:val="00536032"/>
    <w:rsid w:val="005408FD"/>
    <w:rsid w:val="00540EC8"/>
    <w:rsid w:val="005417A0"/>
    <w:rsid w:val="005422E8"/>
    <w:rsid w:val="00542511"/>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0F18"/>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F2C"/>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4"/>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4B43"/>
    <w:rsid w:val="006E512D"/>
    <w:rsid w:val="006E53A6"/>
    <w:rsid w:val="006E5C3A"/>
    <w:rsid w:val="006E6E37"/>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18DE"/>
    <w:rsid w:val="008535B0"/>
    <w:rsid w:val="00853A21"/>
    <w:rsid w:val="00853BD0"/>
    <w:rsid w:val="00854983"/>
    <w:rsid w:val="00854DBE"/>
    <w:rsid w:val="00855C75"/>
    <w:rsid w:val="008567C9"/>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35A4"/>
    <w:rsid w:val="00864A2A"/>
    <w:rsid w:val="00865DE1"/>
    <w:rsid w:val="0086711C"/>
    <w:rsid w:val="00870793"/>
    <w:rsid w:val="00871EED"/>
    <w:rsid w:val="008734E7"/>
    <w:rsid w:val="0087404E"/>
    <w:rsid w:val="008744DD"/>
    <w:rsid w:val="00874647"/>
    <w:rsid w:val="00874C48"/>
    <w:rsid w:val="0087504C"/>
    <w:rsid w:val="00875071"/>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806"/>
    <w:rsid w:val="00914CA0"/>
    <w:rsid w:val="00914DE2"/>
    <w:rsid w:val="0091537E"/>
    <w:rsid w:val="00915DE0"/>
    <w:rsid w:val="00916C0A"/>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694"/>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76"/>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272D2"/>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B6"/>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4EC"/>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6"/>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1B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7A1"/>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568"/>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091"/>
    <w:rsid w:val="00BF31CB"/>
    <w:rsid w:val="00BF4B69"/>
    <w:rsid w:val="00BF51F0"/>
    <w:rsid w:val="00BF60E3"/>
    <w:rsid w:val="00BF62EB"/>
    <w:rsid w:val="00BF67D2"/>
    <w:rsid w:val="00BF6ECD"/>
    <w:rsid w:val="00BF70A1"/>
    <w:rsid w:val="00BF752F"/>
    <w:rsid w:val="00BF7D43"/>
    <w:rsid w:val="00C00B95"/>
    <w:rsid w:val="00C00D06"/>
    <w:rsid w:val="00C00D60"/>
    <w:rsid w:val="00C013A3"/>
    <w:rsid w:val="00C01B4D"/>
    <w:rsid w:val="00C02AD7"/>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46"/>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A6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C32"/>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2ED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9B0"/>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0A41"/>
    <w:rsid w:val="00D81307"/>
    <w:rsid w:val="00D820F3"/>
    <w:rsid w:val="00D822CA"/>
    <w:rsid w:val="00D84268"/>
    <w:rsid w:val="00D84515"/>
    <w:rsid w:val="00D84824"/>
    <w:rsid w:val="00D84F73"/>
    <w:rsid w:val="00D8666C"/>
    <w:rsid w:val="00D86982"/>
    <w:rsid w:val="00D86B3B"/>
    <w:rsid w:val="00D876BB"/>
    <w:rsid w:val="00D8778A"/>
    <w:rsid w:val="00D87E48"/>
    <w:rsid w:val="00D90446"/>
    <w:rsid w:val="00D90D31"/>
    <w:rsid w:val="00D9120D"/>
    <w:rsid w:val="00D912DF"/>
    <w:rsid w:val="00D920AB"/>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78C"/>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2DB0"/>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040B"/>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4CC3"/>
    <w:rsid w:val="00EC555C"/>
    <w:rsid w:val="00EC60C0"/>
    <w:rsid w:val="00EC6337"/>
    <w:rsid w:val="00EC7326"/>
    <w:rsid w:val="00ED0DE8"/>
    <w:rsid w:val="00ED0FAF"/>
    <w:rsid w:val="00ED0FB6"/>
    <w:rsid w:val="00ED19F8"/>
    <w:rsid w:val="00ED3068"/>
    <w:rsid w:val="00ED3534"/>
    <w:rsid w:val="00ED3B7D"/>
    <w:rsid w:val="00ED44D2"/>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5255"/>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6FEB"/>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0E4"/>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535770"/>
    <w:pPr>
      <w:numPr>
        <w:numId w:val="30"/>
      </w:numPr>
      <w:overflowPunct/>
      <w:autoSpaceDE/>
      <w:autoSpaceDN/>
      <w:adjustRightInd/>
      <w:spacing w:after="0"/>
      <w:contextualSpacing/>
      <w:textAlignment w:val="auto"/>
    </w:pPr>
    <w:rPr>
      <w:rFonts w:eastAsia="Times New Roman"/>
      <w:szCs w:val="24"/>
      <w:lang w:val="en-GB"/>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 w:type="numbering" w:customStyle="1" w:styleId="Style1">
    <w:name w:val="Style1"/>
    <w:uiPriority w:val="99"/>
    <w:rsid w:val="00507432"/>
    <w:pPr>
      <w:numPr>
        <w:numId w:val="25"/>
      </w:numPr>
    </w:pPr>
  </w:style>
  <w:style w:type="table" w:styleId="GridTable4-Accent5">
    <w:name w:val="Grid Table 4 Accent 5"/>
    <w:basedOn w:val="TableNormal"/>
    <w:uiPriority w:val="49"/>
    <w:rsid w:val="00302AE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1" Type="http://schemas.openxmlformats.org/officeDocument/2006/relationships/webSettings" Target="webSettings.xml"/><Relationship Id="rId6"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3EQ6UJ4K66FU-4-1920</_dlc_DocId>
    <_dlc_DocIdUrl xmlns="df4eea7b-52db-4162-980b-b352f1b580a3">
      <Url>https://projects.qualcomm.com/sites/meridian/_layouts/15/DocIdRedir.aspx?ID=3EQ6UJ4K66FU-4-1920</Url>
      <Description>3EQ6UJ4K66FU-4-1920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98CAC-8810-40F3-8CB6-B597B85AE32B}">
  <ds:schemaRefs>
    <ds:schemaRef ds:uri="office.server.policy"/>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B4763160-999D-4210-87EF-8774F0A4974F}"/>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7.xml><?xml version="1.0" encoding="utf-8"?>
<ds:datastoreItem xmlns:ds="http://schemas.openxmlformats.org/officeDocument/2006/customXml" ds:itemID="{0D80DB9B-7579-4E43-9D62-FF5AA8311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538</TotalTime>
  <Pages>3</Pages>
  <Words>1028</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Jing Sun</cp:lastModifiedBy>
  <cp:revision>27</cp:revision>
  <cp:lastPrinted>2010-10-04T23:31:00Z</cp:lastPrinted>
  <dcterms:created xsi:type="dcterms:W3CDTF">2017-03-16T02:44:00Z</dcterms:created>
  <dcterms:modified xsi:type="dcterms:W3CDTF">2017-08-09T23:47:00Z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f8aba95e-45e0-46ad-a834-c9e548545c20</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0x010100B64640988C4649488F02E0537EA64775</vt:lpwstr>
  </property>
</Properties>
</file>